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二〇二三年十一月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二〇二三年十一月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eastAsia"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324</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大厂回族自治县自然资源和规划局</w:t>
                            </w:r>
                          </w:p>
                          <w:p>
                            <w:pPr>
                              <w:spacing w:line="600" w:lineRule="auto"/>
                              <w:jc w:val="left"/>
                              <w:rPr>
                                <w:rFonts w:ascii="楷体_GB2312" w:hAnsi="楷体_GB2312" w:eastAsia="楷体_GB2312" w:cs="楷体_GB2312"/>
                                <w:color w:val="000000"/>
                                <w:sz w:val="40"/>
                                <w:szCs w:val="40"/>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eastAsia"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324</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大厂回族自治县自然资源和规划局</w:t>
                      </w:r>
                    </w:p>
                    <w:p>
                      <w:pPr>
                        <w:spacing w:line="600" w:lineRule="auto"/>
                        <w:jc w:val="left"/>
                        <w:rPr>
                          <w:rFonts w:ascii="楷体_GB2312" w:hAnsi="楷体_GB2312" w:eastAsia="楷体_GB2312" w:cs="楷体_GB2312"/>
                          <w:color w:val="000000"/>
                          <w:sz w:val="40"/>
                          <w:szCs w:val="40"/>
                        </w:rP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3"/>
        <w:numPr>
          <w:ilvl w:val="0"/>
          <w:numId w:val="1"/>
        </w:numPr>
        <w:spacing w:before="0" w:after="0" w:line="580" w:lineRule="exact"/>
        <w:ind w:firstLine="640" w:firstLineChars="200"/>
        <w:jc w:val="left"/>
        <w:rPr>
          <w:rFonts w:hint="eastAsia" w:ascii="黑体" w:eastAsia="黑体" w:cs="黑体"/>
          <w:b w:val="0"/>
          <w:bCs w:val="0"/>
          <w:kern w:val="0"/>
          <w:sz w:val="32"/>
          <w:szCs w:val="32"/>
        </w:rPr>
      </w:pPr>
      <w:r>
        <w:rPr>
          <w:rFonts w:hint="eastAsia" w:ascii="黑体" w:eastAsia="黑体" w:cs="黑体"/>
          <w:b w:val="0"/>
          <w:bCs w:val="0"/>
          <w:kern w:val="0"/>
          <w:sz w:val="32"/>
          <w:szCs w:val="32"/>
        </w:rPr>
        <w:t>部门职责</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贯彻落实党中央、省委、市委和县委关于自然资源</w:t>
      </w:r>
      <w:r>
        <w:rPr>
          <w:rFonts w:hint="default" w:ascii="Times New Roman" w:hAnsi="Times New Roman" w:eastAsia="仿宋_GB2312" w:cs="Times New Roman"/>
          <w:sz w:val="32"/>
          <w:szCs w:val="32"/>
          <w:lang w:eastAsia="zh-CN"/>
        </w:rPr>
        <w:t>和规划</w:t>
      </w:r>
      <w:r>
        <w:rPr>
          <w:rFonts w:hint="default" w:ascii="Times New Roman" w:hAnsi="Times New Roman" w:eastAsia="仿宋_GB2312" w:cs="Times New Roman"/>
          <w:sz w:val="32"/>
          <w:szCs w:val="32"/>
        </w:rPr>
        <w:t>工作的方针政策和决策部署，坚持和加强党对自然资源</w:t>
      </w:r>
      <w:r>
        <w:rPr>
          <w:rFonts w:hint="default" w:ascii="Times New Roman" w:hAnsi="Times New Roman" w:eastAsia="仿宋_GB2312" w:cs="Times New Roman"/>
          <w:sz w:val="32"/>
          <w:szCs w:val="32"/>
          <w:lang w:eastAsia="zh-CN"/>
        </w:rPr>
        <w:t>和规划</w:t>
      </w:r>
      <w:r>
        <w:rPr>
          <w:rFonts w:hint="default" w:ascii="Times New Roman" w:hAnsi="Times New Roman" w:eastAsia="仿宋_GB2312" w:cs="Times New Roman"/>
          <w:sz w:val="32"/>
          <w:szCs w:val="32"/>
        </w:rPr>
        <w:t>工作的集中统一领导。主要职责是：</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6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负责全县自然资源调查监测评价。贯彻执行国家自然资源调查监测评价的指标体系、统计标准和自然资源调查监测评价制度。实施自然资源基础调查、专项调查和监测。负责自然资源调查监测评价成果的监督管理和信息发布。　</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6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负责全县自然资源统一确权登记工作。贯彻执行国家各类自然资源和不动产统一确权登记、权籍调查、不动产测绘、争议调处、成果应用的制度、标准、规范。建立健全全县自然资源和不动产登记信息管理基础平台。负责自然资源和不动产登记资料收集、整理、共享、汇交管理等。</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3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负责建立全县空间规划体系并监督实施。推进主体功能区战略和制度，组织编制并监督实施全县国土空间规划和相关专项规划。负责编制城市控制性详细规划和城市设计。开展国土空间开发适宜性评价，建立国土空间规划实施监测、评估和预警体系。负责县国土空间规划和相关专项规划的编制工作并监督管理。组织划定生态保护红线、永久基本农田、城镇开发边界等控制线，构建节约资源和保护环境的生产、生活、生态空间布局。负责县城乡规划审议委员会日常工作。</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3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（七）</w:t>
      </w:r>
      <w:r>
        <w:rPr>
          <w:rFonts w:hint="default" w:ascii="Times New Roman" w:hAnsi="Times New Roman" w:eastAsia="仿宋_GB2312" w:cs="Times New Roman"/>
          <w:color w:val="000000"/>
          <w:sz w:val="32"/>
          <w:szCs w:val="32"/>
        </w:rPr>
        <w:t>负责建立健全国土空间用途管制制度，研究拟订城乡规划政策并监督实施。参与城市重大建设项目前期论证。负责土地等自然资源年度利用计划管理工作。负责土地等国土空间用途转用工作。负责土地征收征用管理。</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八）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九）负责组织实施最严格的耕地保护制度。贯彻落实耕地保护政策，负责耕地数量、质量、生态保护。组织实施耕地保护责任目标考核和永久基本农田特殊保护。负责落实耕地占补平衡制度，监督占用耕地补偿制度执行情况。</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（十）负责管理全县地质勘查行业和地质工作。编制地质勘查规划并监督检查执行情况。管理县级地质勘查项目。组织实施重大地质矿产勘查专项。负责古生物化石的监督管理。</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负责全县矿产资源管理工作。负责矿产资源储量管理及压覆矿产资源管理。负责矿业权管理。会同有关部门负责落实保护性开采的特定矿种、优势矿产的调控及相关管理工作。监督指导矿产资源合理利用和保护。</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（十三）负责全县测绘地理信息管理工作。负责基础测绘和测绘行业管理。负责测绘资质资格与信用管理，监督管理地理信息安全和市场秩序。负责地理信息公共服务管理。负责测量标志保护。</w:t>
      </w:r>
    </w:p>
    <w:p>
      <w:pPr>
        <w:pStyle w:val="7"/>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（十四）负责组织全县造林绿化工作。指导公益林和商品林的培育，指导、监督全民义务植树、城乡绿化工作。指导林业有害生物防治、检疫工作。承担林业应对气候变化的相关工作。</w:t>
      </w:r>
    </w:p>
    <w:p>
      <w:pPr>
        <w:pStyle w:val="7"/>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（十五）负责全县森林、草原、湿地资源的监督管理。组织编制并监督执行全</w:t>
      </w:r>
      <w:r>
        <w:rPr>
          <w:rFonts w:hint="default" w:ascii="Times New Roman" w:hAnsi="Times New Roman" w:eastAsia="仿宋_GB2312" w:cs="Times New Roman"/>
          <w:color w:val="000000"/>
          <w:sz w:val="32"/>
          <w:szCs w:val="32"/>
        </w:rPr>
        <w:t>县</w:t>
      </w:r>
      <w:r>
        <w:rPr>
          <w:rFonts w:hint="default" w:ascii="Times New Roman" w:hAnsi="Times New Roman" w:eastAsia="仿宋_GB2312" w:cs="Times New Roman"/>
          <w:sz w:val="32"/>
          <w:szCs w:val="32"/>
        </w:rPr>
        <w:t>森林采伐限额。负责林地管理，拟订全</w:t>
      </w:r>
      <w:r>
        <w:rPr>
          <w:rFonts w:hint="default" w:ascii="Times New Roman" w:hAnsi="Times New Roman" w:eastAsia="仿宋_GB2312" w:cs="Times New Roman"/>
          <w:color w:val="000000"/>
          <w:sz w:val="32"/>
          <w:szCs w:val="32"/>
        </w:rPr>
        <w:t>县</w:t>
      </w:r>
      <w:r>
        <w:rPr>
          <w:rFonts w:hint="default" w:ascii="Times New Roman" w:hAnsi="Times New Roman" w:eastAsia="仿宋_GB2312" w:cs="Times New Roman"/>
          <w:sz w:val="32"/>
          <w:szCs w:val="32"/>
        </w:rPr>
        <w:t>林地保护利用规划并组织实施，指导全县公益林划定和管理工作。监督管理</w:t>
      </w:r>
      <w:r>
        <w:rPr>
          <w:rFonts w:hint="default" w:ascii="Times New Roman" w:hAnsi="Times New Roman" w:eastAsia="仿宋_GB2312" w:cs="Times New Roman"/>
          <w:color w:val="000000"/>
          <w:sz w:val="32"/>
          <w:szCs w:val="32"/>
        </w:rPr>
        <w:t>草原</w:t>
      </w:r>
      <w:r>
        <w:rPr>
          <w:rFonts w:hint="default" w:ascii="Times New Roman" w:hAnsi="Times New Roman" w:eastAsia="仿宋_GB2312" w:cs="Times New Roman"/>
          <w:sz w:val="32"/>
          <w:szCs w:val="32"/>
        </w:rPr>
        <w:t>的开发利用。拟订全县湿地保护规划和相关地方标准并组织实施，监督管理湿地的开发利用。</w:t>
      </w:r>
    </w:p>
    <w:p>
      <w:pPr>
        <w:pStyle w:val="7"/>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六）负责监督管理全县荒漠化防治工作。组织开展荒漠调查，组织拟订全县防沙治沙及沙化土地封禁保护区建设规划，拟订相关地方标准和规定并监督实施，监督管理沙化土地的开发利用，组织沙尘暴灾害预测预报和应急处置。</w:t>
      </w:r>
    </w:p>
    <w:p>
      <w:pPr>
        <w:pStyle w:val="7"/>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（十七）负责全县陆生野生动植物资源监督管理。组织开展陆生野生动植物资源调查。指导全县陆生野生动植物的救护繁育、栖息地恢复发展、疫源疫病监测，监督管理全</w:t>
      </w:r>
      <w:r>
        <w:rPr>
          <w:rFonts w:hint="default" w:ascii="Times New Roman" w:hAnsi="Times New Roman" w:eastAsia="仿宋_GB2312" w:cs="Times New Roman"/>
          <w:color w:val="000000"/>
          <w:sz w:val="32"/>
          <w:szCs w:val="32"/>
        </w:rPr>
        <w:t>县</w:t>
      </w:r>
      <w:r>
        <w:rPr>
          <w:rFonts w:hint="default" w:ascii="Times New Roman" w:hAnsi="Times New Roman" w:eastAsia="仿宋_GB2312" w:cs="Times New Roman"/>
          <w:sz w:val="32"/>
          <w:szCs w:val="32"/>
        </w:rPr>
        <w:t>陆生野生动植物猎捕或采集、驯养繁殖或培植、经营利用，按分工监督管理野生动植物进出口。</w:t>
      </w:r>
    </w:p>
    <w:p>
      <w:pPr>
        <w:pStyle w:val="7"/>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八）负责监督管理全县各类自然保护地。拟订全县各类自然保护地规划和相关地方标准。承办国家公园规划、管理和监督，负责上级委托县政府代理行使所有权的国家公园等自然保护地的自然资源资产管理和国土空间用途管制。提出新建、调整各</w:t>
      </w:r>
      <w:r>
        <w:rPr>
          <w:rFonts w:hint="default" w:ascii="Times New Roman" w:hAnsi="Times New Roman" w:eastAsia="仿宋_GB2312" w:cs="Times New Roman"/>
          <w:color w:val="000000"/>
          <w:sz w:val="32"/>
          <w:szCs w:val="32"/>
        </w:rPr>
        <w:t>类县</w:t>
      </w:r>
      <w:r>
        <w:rPr>
          <w:rFonts w:hint="default" w:ascii="Times New Roman" w:hAnsi="Times New Roman" w:eastAsia="仿宋_GB2312" w:cs="Times New Roman"/>
          <w:sz w:val="32"/>
          <w:szCs w:val="32"/>
        </w:rPr>
        <w:t>级以上自然保护地的审核建议并按程序报批。组织申报世界自然遗产，会同有关部门申报世界自然与文化双重遗产。负责全</w:t>
      </w:r>
      <w:r>
        <w:rPr>
          <w:rFonts w:hint="default" w:ascii="Times New Roman" w:hAnsi="Times New Roman" w:eastAsia="仿宋_GB2312" w:cs="Times New Roman"/>
          <w:color w:val="000000"/>
          <w:sz w:val="32"/>
          <w:szCs w:val="32"/>
        </w:rPr>
        <w:t>县</w:t>
      </w:r>
      <w:r>
        <w:rPr>
          <w:rFonts w:hint="default" w:ascii="Times New Roman" w:hAnsi="Times New Roman" w:eastAsia="仿宋_GB2312" w:cs="Times New Roman"/>
          <w:sz w:val="32"/>
          <w:szCs w:val="32"/>
        </w:rPr>
        <w:t>生物多样性保护相关工作。</w:t>
      </w:r>
    </w:p>
    <w:p>
      <w:pPr>
        <w:pStyle w:val="7"/>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（十九）负责推进全</w:t>
      </w:r>
      <w:r>
        <w:rPr>
          <w:rFonts w:hint="default" w:ascii="Times New Roman" w:hAnsi="Times New Roman" w:eastAsia="仿宋_GB2312" w:cs="Times New Roman"/>
          <w:color w:val="000000"/>
          <w:sz w:val="32"/>
          <w:szCs w:val="32"/>
        </w:rPr>
        <w:t>县</w:t>
      </w:r>
      <w:r>
        <w:rPr>
          <w:rFonts w:hint="default" w:ascii="Times New Roman" w:hAnsi="Times New Roman" w:eastAsia="仿宋_GB2312" w:cs="Times New Roman"/>
          <w:sz w:val="32"/>
          <w:szCs w:val="32"/>
        </w:rPr>
        <w:t>林业和草原改革相关工作。拟订集体林权制度、国有林场、草原等重大改革意见并监督实施。拟订农村林业发展、维护林业经营者合法权益的政策措施，指导监督农村林地承包经营工作。开展退耕（牧）还林还草，负责天然林保护工作。</w:t>
      </w:r>
    </w:p>
    <w:p>
      <w:pPr>
        <w:pStyle w:val="7"/>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（二十）拟订全县林业和草原资源优化配置及木材利用政策，拟订相关林业产业地方标准并监督实施，组织、指导林产品质量监督，指导生态扶贫相关工作。</w:t>
      </w:r>
    </w:p>
    <w:p>
      <w:pPr>
        <w:pStyle w:val="7"/>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一）组织开展林木种子、草种种质资源普查，组织建立种质资源库，负责良种选育推广，管理林木种苗、草种生产经营行为，监管林木种苗、草种质量。监督管理林业和草原生物种质资源、转基因生物安全、植物新品种保护。</w:t>
      </w:r>
    </w:p>
    <w:p>
      <w:pPr>
        <w:pStyle w:val="7"/>
        <w:pageBreakBefore w:val="0"/>
        <w:widowControl w:val="0"/>
        <w:shd w:val="clear" w:color="auto" w:fill="FFFFFF"/>
        <w:kinsoku/>
        <w:wordWrap/>
        <w:overflowPunct/>
        <w:topLinePunct w:val="0"/>
        <w:autoSpaceDE/>
        <w:autoSpaceDN/>
        <w:bidi w:val="0"/>
        <w:adjustRightInd w:val="0"/>
        <w:snapToGrid w:val="0"/>
        <w:spacing w:beforeAutospacing="0" w:afterAutospacing="0" w:line="600" w:lineRule="exact"/>
        <w:ind w:firstLine="629"/>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（二十二）</w:t>
      </w:r>
      <w:r>
        <w:rPr>
          <w:rFonts w:hint="default" w:ascii="Times New Roman" w:hAnsi="Times New Roman" w:eastAsia="仿宋_GB2312" w:cs="Times New Roman"/>
          <w:color w:val="000000"/>
          <w:sz w:val="32"/>
          <w:szCs w:val="32"/>
        </w:rPr>
        <w:t>配合全县林业重大违法案件的查处，负责相关行政执法监管工作。</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三）负责落实全县综合防灾规划相关要求，组织编制全县森林和草原火灾防治规划和防护标准并监督实施，指导开展防火巡护、火源管理、防火设施建设等工作。组织指导开展全县森林和草原防火宣传教育、监测预警、督促检查等防火工作。必要时，可以提请县应急管理局，以县应急指挥机构名义，部署相关防治工作。</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四）推动全县自然资源领域科技发展。制定并实施自然资源领域科技创新发展和人才培养规划和计划。贯彻执行技术标准、规程规范。组织实施重大科技工程及创新能力建设，推进自然资源信息化和信息资料的公共服务。</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（二十五）开展全县自然资源国际合作。组织开展自然资源领域对外交流合作。承担有关国际公约履约工作。</w:t>
      </w:r>
    </w:p>
    <w:p>
      <w:pPr>
        <w:pStyle w:val="7"/>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29"/>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（二十六）查处全县自然资源开发利用和国土空间规划及测绘重大违法案件。</w:t>
      </w:r>
    </w:p>
    <w:p>
      <w:pPr>
        <w:numPr>
          <w:ilvl w:val="0"/>
          <w:numId w:val="0"/>
        </w:numPr>
      </w:pPr>
      <w:r>
        <w:rPr>
          <w:rFonts w:hint="default" w:ascii="Times New Roman" w:hAnsi="Times New Roman" w:eastAsia="仿宋_GB2312" w:cs="Times New Roman"/>
          <w:sz w:val="32"/>
          <w:szCs w:val="32"/>
        </w:rPr>
        <w:t>（二十七）完成县委、县政府交办的其他任务。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  个，具体情况如下：</w:t>
      </w:r>
    </w:p>
    <w:tbl>
      <w:tblPr>
        <w:tblStyle w:val="8"/>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大厂回族自治县自然资源和规划局</w:t>
            </w:r>
            <w:r>
              <w:rPr>
                <w:rFonts w:hint="eastAsia" w:ascii="仿宋_GB2312" w:hAnsi="Calibri" w:eastAsia="仿宋_GB2312" w:cs="ArialUnicodeMS"/>
                <w:kern w:val="0"/>
                <w:sz w:val="28"/>
                <w:szCs w:val="28"/>
              </w:rPr>
              <w:t>(本级)</w:t>
            </w:r>
          </w:p>
        </w:tc>
        <w:tc>
          <w:tcPr>
            <w:tcW w:w="244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numPr>
                <w:ilvl w:val="0"/>
                <w:numId w:val="2"/>
              </w:numPr>
              <w:spacing w:line="560" w:lineRule="exact"/>
              <w:ind w:firstLine="560" w:firstLineChars="200"/>
              <w:jc w:val="left"/>
              <w:rPr>
                <w:rFonts w:hint="eastAsia" w:ascii="仿宋_GB2312" w:hAnsi="Calibri" w:eastAsia="仿宋_GB2312" w:cs="ArialUnicodeMS"/>
                <w:kern w:val="0"/>
                <w:sz w:val="28"/>
                <w:szCs w:val="28"/>
              </w:rPr>
            </w:pPr>
            <w:r>
              <w:rPr>
                <w:rFonts w:hint="eastAsia" w:ascii="仿宋_GB2312" w:hAnsi="Calibri" w:eastAsia="仿宋_GB2312" w:cs="ArialUnicodeMS"/>
                <w:kern w:val="0"/>
                <w:sz w:val="28"/>
                <w:szCs w:val="28"/>
              </w:rPr>
              <w:t>经费形式分为财政拨款、财政性资金基本保证、财政性资金定额或定项补助、财政性资金零补助四类。</w:t>
            </w:r>
          </w:p>
          <w:p>
            <w:pPr>
              <w:numPr>
                <w:ilvl w:val="0"/>
                <w:numId w:val="2"/>
              </w:numPr>
              <w:spacing w:line="560" w:lineRule="exact"/>
              <w:ind w:firstLine="560" w:firstLineChars="200"/>
              <w:jc w:val="left"/>
              <w:rPr>
                <w:rFonts w:hint="eastAsia"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我部门无二级预算单位，因此，大厂回族自治县自然资源和规划局2022年度部门决算即大厂回族自治县自然资源和规划局本级2022年度决算。</w:t>
            </w:r>
          </w:p>
        </w:tc>
      </w:tr>
    </w:tbl>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-180975</wp:posOffset>
            </wp:positionH>
            <wp:positionV relativeFrom="margin">
              <wp:posOffset>3472180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8"/>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大厂回族自治县自然资源和规划局</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3443.81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10486.54</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0" w:firstLineChars="400"/>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101.50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630" w:firstLineChars="300"/>
              <w:rPr>
                <w:rFonts w:hint="default" w:ascii="宋体" w:hAnsi="宋体" w:eastAsia="宋体" w:cs="宋体"/>
                <w:b/>
                <w:color w:val="000000"/>
                <w:sz w:val="22"/>
                <w:lang w:val="en-US" w:eastAsia="zh-CN"/>
              </w:rPr>
            </w:pPr>
            <w:r>
              <w:rPr>
                <w:rFonts w:hint="eastAsia"/>
              </w:rPr>
              <w:t>30.46</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24,186.54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2,850.23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83.37</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13930.35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27,632.13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14001.93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300.16</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27932.28</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27,932.28</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注：1.本表反映部门本年度的总收支和年末结转结余情况。</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8"/>
        <w:tblW w:w="10903" w:type="dxa"/>
        <w:tblInd w:w="0" w:type="dxa"/>
        <w:tblLayout w:type="fixed"/>
        <w:tblCellMar>
          <w:top w:w="15" w:type="dxa"/>
          <w:left w:w="15" w:type="dxa"/>
          <w:bottom w:w="15" w:type="dxa"/>
          <w:right w:w="15" w:type="dxa"/>
        </w:tblCellMar>
      </w:tblPr>
      <w:tblGrid>
        <w:gridCol w:w="555"/>
        <w:gridCol w:w="553"/>
        <w:gridCol w:w="2430"/>
        <w:gridCol w:w="1140"/>
        <w:gridCol w:w="1035"/>
        <w:gridCol w:w="870"/>
        <w:gridCol w:w="1035"/>
        <w:gridCol w:w="1095"/>
        <w:gridCol w:w="1110"/>
        <w:gridCol w:w="1080"/>
      </w:tblGrid>
      <w:tr>
        <w:tblPrEx>
          <w:tblCellMar>
            <w:top w:w="15" w:type="dxa"/>
            <w:left w:w="15" w:type="dxa"/>
            <w:bottom w:w="15" w:type="dxa"/>
            <w:right w:w="15" w:type="dxa"/>
          </w:tblCellMar>
        </w:tblPrEx>
        <w:trPr>
          <w:trHeight w:val="435" w:hRule="atLeast"/>
        </w:trPr>
        <w:tc>
          <w:tcPr>
            <w:tcW w:w="10903"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553" w:type="dxa"/>
            <w:shd w:val="clear" w:color="auto" w:fill="FFFFFF"/>
            <w:vAlign w:val="center"/>
          </w:tcPr>
          <w:p>
            <w:pPr>
              <w:jc w:val="right"/>
              <w:rPr>
                <w:rFonts w:ascii="宋体" w:hAnsi="宋体" w:eastAsia="宋体" w:cs="宋体"/>
                <w:color w:val="000000"/>
                <w:sz w:val="24"/>
              </w:rPr>
            </w:pPr>
          </w:p>
        </w:tc>
        <w:tc>
          <w:tcPr>
            <w:tcW w:w="2430" w:type="dxa"/>
            <w:shd w:val="clear" w:color="auto" w:fill="FFFFFF"/>
            <w:vAlign w:val="center"/>
          </w:tcPr>
          <w:p>
            <w:pPr>
              <w:jc w:val="right"/>
              <w:rPr>
                <w:rFonts w:ascii="宋体" w:hAnsi="宋体" w:eastAsia="宋体" w:cs="宋体"/>
                <w:color w:val="000000"/>
                <w:sz w:val="24"/>
              </w:rPr>
            </w:pPr>
          </w:p>
        </w:tc>
        <w:tc>
          <w:tcPr>
            <w:tcW w:w="1140" w:type="dxa"/>
            <w:shd w:val="clear" w:color="auto" w:fill="FFFFFF"/>
            <w:vAlign w:val="center"/>
          </w:tcPr>
          <w:p>
            <w:pPr>
              <w:jc w:val="right"/>
              <w:rPr>
                <w:rFonts w:ascii="宋体" w:hAnsi="宋体" w:eastAsia="宋体" w:cs="宋体"/>
                <w:color w:val="000000"/>
                <w:sz w:val="24"/>
              </w:rPr>
            </w:pPr>
          </w:p>
        </w:tc>
        <w:tc>
          <w:tcPr>
            <w:tcW w:w="1035" w:type="dxa"/>
            <w:shd w:val="clear" w:color="auto" w:fill="FFFFFF"/>
            <w:vAlign w:val="center"/>
          </w:tcPr>
          <w:p>
            <w:pPr>
              <w:jc w:val="right"/>
              <w:rPr>
                <w:rFonts w:ascii="宋体" w:hAnsi="宋体" w:eastAsia="宋体" w:cs="宋体"/>
                <w:color w:val="000000"/>
                <w:sz w:val="24"/>
              </w:rPr>
            </w:pPr>
          </w:p>
        </w:tc>
        <w:tc>
          <w:tcPr>
            <w:tcW w:w="870" w:type="dxa"/>
            <w:shd w:val="clear" w:color="auto" w:fill="FFFFFF"/>
            <w:vAlign w:val="center"/>
          </w:tcPr>
          <w:p>
            <w:pPr>
              <w:jc w:val="right"/>
              <w:rPr>
                <w:rFonts w:ascii="宋体" w:hAnsi="宋体" w:eastAsia="宋体" w:cs="宋体"/>
                <w:color w:val="000000"/>
                <w:sz w:val="24"/>
              </w:rPr>
            </w:pPr>
          </w:p>
        </w:tc>
        <w:tc>
          <w:tcPr>
            <w:tcW w:w="1035" w:type="dxa"/>
            <w:shd w:val="clear" w:color="auto" w:fill="FFFFFF"/>
            <w:vAlign w:val="center"/>
          </w:tcPr>
          <w:p>
            <w:pPr>
              <w:jc w:val="right"/>
              <w:rPr>
                <w:rFonts w:ascii="宋体" w:hAnsi="宋体" w:eastAsia="宋体" w:cs="宋体"/>
                <w:color w:val="000000"/>
                <w:sz w:val="24"/>
              </w:rPr>
            </w:pPr>
          </w:p>
        </w:tc>
        <w:tc>
          <w:tcPr>
            <w:tcW w:w="1095" w:type="dxa"/>
            <w:shd w:val="clear" w:color="auto" w:fill="FFFFFF"/>
            <w:vAlign w:val="center"/>
          </w:tcPr>
          <w:p>
            <w:pPr>
              <w:jc w:val="right"/>
              <w:rPr>
                <w:rFonts w:ascii="宋体" w:hAnsi="宋体" w:eastAsia="宋体" w:cs="宋体"/>
                <w:color w:val="000000"/>
                <w:sz w:val="24"/>
              </w:rPr>
            </w:pPr>
          </w:p>
        </w:tc>
        <w:tc>
          <w:tcPr>
            <w:tcW w:w="111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600"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123" w:type="dxa"/>
            <w:gridSpan w:val="3"/>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sz w:val="18"/>
                <w:szCs w:val="18"/>
                <w:lang w:val="en-US" w:eastAsia="zh-CN"/>
              </w:rPr>
              <w:t>大厂回族自治县自然资源和规划局</w:t>
            </w:r>
          </w:p>
        </w:tc>
        <w:tc>
          <w:tcPr>
            <w:tcW w:w="1035"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870" w:type="dxa"/>
            <w:shd w:val="clear" w:color="auto" w:fill="FFFFFF"/>
            <w:vAlign w:val="center"/>
          </w:tcPr>
          <w:p>
            <w:pPr>
              <w:jc w:val="center"/>
              <w:rPr>
                <w:rFonts w:ascii="宋体" w:hAnsi="宋体" w:eastAsia="宋体" w:cs="宋体"/>
                <w:color w:val="000000"/>
                <w:sz w:val="20"/>
                <w:szCs w:val="20"/>
              </w:rPr>
            </w:pPr>
          </w:p>
        </w:tc>
        <w:tc>
          <w:tcPr>
            <w:tcW w:w="1035" w:type="dxa"/>
            <w:shd w:val="clear" w:color="auto" w:fill="FFFFFF"/>
            <w:vAlign w:val="center"/>
          </w:tcPr>
          <w:p>
            <w:pPr>
              <w:jc w:val="right"/>
              <w:rPr>
                <w:rFonts w:ascii="宋体" w:hAnsi="宋体" w:eastAsia="宋体" w:cs="宋体"/>
                <w:color w:val="000000"/>
                <w:sz w:val="24"/>
              </w:rPr>
            </w:pPr>
          </w:p>
        </w:tc>
        <w:tc>
          <w:tcPr>
            <w:tcW w:w="1095" w:type="dxa"/>
            <w:shd w:val="clear" w:color="auto" w:fill="FFFFFF"/>
            <w:vAlign w:val="center"/>
          </w:tcPr>
          <w:p>
            <w:pPr>
              <w:jc w:val="right"/>
              <w:rPr>
                <w:rFonts w:ascii="宋体" w:hAnsi="宋体" w:eastAsia="宋体" w:cs="宋体"/>
                <w:color w:val="000000"/>
                <w:sz w:val="24"/>
              </w:rPr>
            </w:pPr>
          </w:p>
        </w:tc>
        <w:tc>
          <w:tcPr>
            <w:tcW w:w="111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5" w:hRule="atLeast"/>
        </w:trPr>
        <w:tc>
          <w:tcPr>
            <w:tcW w:w="35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10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0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283" w:hRule="atLeast"/>
        </w:trPr>
        <w:tc>
          <w:tcPr>
            <w:tcW w:w="35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90" w:hRule="atLeast"/>
        </w:trPr>
        <w:tc>
          <w:tcPr>
            <w:tcW w:w="35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合计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13,930.35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13,930.35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cantSplit/>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21011</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2101101</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行政单位医疗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城乡社区支出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10,486.54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10,486.54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21208</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6,486.54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6,486.54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2120899</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6,486.54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6,486.54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21210</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国有土地收益基金安排的支出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2121099</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其他国有土地收益基金支出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农林水支出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378.25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378.25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林业和草原</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378.25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378.25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2130205</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森林资源培育</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2130207</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森林资源管理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221.40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2130211</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动植物保护</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2130234</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林业草原防灾减灾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152.85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152.85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2,850.23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2,850.23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自然资源事务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2,850.23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2,850.23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2200101</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行政运行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2,089.14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2200102</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一般行政管理事务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253.13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253.13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2200104</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自然资源规划及管理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2200106</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319.16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319.16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2200109</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自然资源调查与确权登记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9.98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9.98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2200114</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地质勘查与矿产资源管理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2200129</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基础测绘与地理信息监管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129.82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129.82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83.37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83.37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83.37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83.37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283" w:hRule="atLeast"/>
        </w:trPr>
        <w:tc>
          <w:tcPr>
            <w:tcW w:w="110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24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住房公积金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83.37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83.37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615" w:hRule="atLeast"/>
        </w:trPr>
        <w:tc>
          <w:tcPr>
            <w:tcW w:w="10903"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8"/>
        <w:tblW w:w="10286" w:type="dxa"/>
        <w:tblInd w:w="0" w:type="dxa"/>
        <w:tblLayout w:type="fixed"/>
        <w:tblCellMar>
          <w:top w:w="15" w:type="dxa"/>
          <w:left w:w="15" w:type="dxa"/>
          <w:bottom w:w="15" w:type="dxa"/>
          <w:right w:w="15" w:type="dxa"/>
        </w:tblCellMar>
      </w:tblPr>
      <w:tblGrid>
        <w:gridCol w:w="671"/>
        <w:gridCol w:w="392"/>
        <w:gridCol w:w="275"/>
        <w:gridCol w:w="1660"/>
        <w:gridCol w:w="1277"/>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gridSpan w:val="2"/>
            <w:shd w:val="clear" w:color="auto" w:fill="FFFFFF"/>
            <w:vAlign w:val="center"/>
          </w:tcPr>
          <w:p>
            <w:pPr>
              <w:jc w:val="right"/>
              <w:rPr>
                <w:rFonts w:ascii="宋体" w:hAnsi="宋体" w:eastAsia="宋体" w:cs="宋体"/>
                <w:color w:val="000000"/>
                <w:sz w:val="24"/>
              </w:rPr>
            </w:pPr>
          </w:p>
        </w:tc>
        <w:tc>
          <w:tcPr>
            <w:tcW w:w="1660" w:type="dxa"/>
            <w:shd w:val="clear" w:color="auto" w:fill="FFFFFF"/>
            <w:vAlign w:val="center"/>
          </w:tcPr>
          <w:p>
            <w:pPr>
              <w:jc w:val="right"/>
              <w:rPr>
                <w:rFonts w:ascii="宋体" w:hAnsi="宋体" w:eastAsia="宋体" w:cs="宋体"/>
                <w:color w:val="000000"/>
                <w:sz w:val="24"/>
              </w:rPr>
            </w:pPr>
          </w:p>
        </w:tc>
        <w:tc>
          <w:tcPr>
            <w:tcW w:w="1277"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327" w:type="dxa"/>
            <w:gridSpan w:val="3"/>
            <w:shd w:val="clear" w:color="auto" w:fill="FFFFFF"/>
            <w:vAlign w:val="center"/>
          </w:tcPr>
          <w:p>
            <w:pPr>
              <w:jc w:val="right"/>
              <w:rPr>
                <w:rFonts w:hint="default" w:ascii="宋体" w:hAnsi="宋体" w:eastAsia="宋体" w:cs="宋体"/>
                <w:color w:val="000000"/>
                <w:sz w:val="24"/>
                <w:lang w:val="en-US"/>
              </w:rPr>
            </w:pPr>
            <w:r>
              <w:rPr>
                <w:rFonts w:hint="eastAsia" w:ascii="宋体" w:hAnsi="宋体" w:eastAsia="宋体" w:cs="宋体"/>
                <w:color w:val="000000"/>
                <w:sz w:val="15"/>
                <w:szCs w:val="15"/>
                <w:lang w:val="en-US" w:eastAsia="zh-CN"/>
              </w:rPr>
              <w:t>大厂回族自治县自然资源和规划局</w:t>
            </w:r>
          </w:p>
        </w:tc>
        <w:tc>
          <w:tcPr>
            <w:tcW w:w="127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99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9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9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合计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27,632.13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2,304.47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25,327.65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21011</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2101101</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行政单位医疗</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城乡社区支出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24,186.54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24,186.54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21208</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20,186.54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20,186.54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2120899</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20,186.54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20,186.54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21210</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国有土地收益基金安排的支出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2121099</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其他国有土地收益基金支出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农林水支出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380.02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380.02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林业和草原</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380.02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380.02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2130205</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森林资源培育</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2130207</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森林资源管理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221.40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221.40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2130211</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动植物保护</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2130234</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林业草原防灾减灾</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154.62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154.62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2,850.23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2,089.14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761.09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自然资源事务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2,850.23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2,089.14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761.09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2200101</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行政运行</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2,089.14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2,089.14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2200102</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一般行政管理事务</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253.13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253.13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630" w:hRule="atLeast"/>
        </w:trPr>
        <w:tc>
          <w:tcPr>
            <w:tcW w:w="10286"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8"/>
        <w:tblW w:w="14186" w:type="dxa"/>
        <w:tblInd w:w="0" w:type="dxa"/>
        <w:tblLayout w:type="fixed"/>
        <w:tblCellMar>
          <w:top w:w="15" w:type="dxa"/>
          <w:left w:w="15" w:type="dxa"/>
          <w:bottom w:w="15" w:type="dxa"/>
          <w:right w:w="15" w:type="dxa"/>
        </w:tblCellMar>
      </w:tblPr>
      <w:tblGrid>
        <w:gridCol w:w="600"/>
        <w:gridCol w:w="379"/>
        <w:gridCol w:w="701"/>
        <w:gridCol w:w="328"/>
        <w:gridCol w:w="285"/>
        <w:gridCol w:w="1260"/>
        <w:gridCol w:w="453"/>
        <w:gridCol w:w="1407"/>
        <w:gridCol w:w="240"/>
        <w:gridCol w:w="739"/>
        <w:gridCol w:w="386"/>
        <w:gridCol w:w="1215"/>
        <w:gridCol w:w="575"/>
        <w:gridCol w:w="730"/>
        <w:gridCol w:w="1530"/>
        <w:gridCol w:w="2"/>
        <w:gridCol w:w="18"/>
        <w:gridCol w:w="3338"/>
      </w:tblGrid>
      <w:tr>
        <w:tblPrEx>
          <w:tblCellMar>
            <w:top w:w="15" w:type="dxa"/>
            <w:left w:w="15" w:type="dxa"/>
            <w:bottom w:w="15" w:type="dxa"/>
            <w:right w:w="15" w:type="dxa"/>
          </w:tblCellMar>
        </w:tblPrEx>
        <w:trPr>
          <w:trHeight w:val="360" w:hRule="atLeast"/>
        </w:trPr>
        <w:tc>
          <w:tcPr>
            <w:tcW w:w="14186" w:type="dxa"/>
            <w:gridSpan w:val="18"/>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8"/>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542" w:type="dxa"/>
                  <w:gridSpan w:val="3"/>
                  <w:shd w:val="clear" w:color="auto" w:fill="FFFFFF"/>
                  <w:vAlign w:val="center"/>
                </w:tcPr>
                <w:p>
                  <w:pPr>
                    <w:wordWrap w:val="0"/>
                    <w:jc w:val="both"/>
                    <w:rPr>
                      <w:rFonts w:ascii="宋体" w:hAnsi="宋体" w:eastAsia="宋体" w:cs="宋体"/>
                      <w:color w:val="000000"/>
                      <w:sz w:val="24"/>
                    </w:rPr>
                  </w:pPr>
                  <w:r>
                    <w:rPr>
                      <w:rFonts w:hint="eastAsia" w:ascii="宋体" w:hAnsi="宋体" w:eastAsia="宋体" w:cs="宋体"/>
                      <w:color w:val="000000"/>
                      <w:sz w:val="15"/>
                      <w:szCs w:val="15"/>
                      <w:lang w:val="en-US" w:eastAsia="zh-CN"/>
                    </w:rPr>
                    <w:t>大厂回族自治县自然资源和规划局</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3"/>
          <w:wAfter w:w="3358" w:type="dxa"/>
          <w:trHeight w:val="221" w:hRule="atLeast"/>
        </w:trPr>
        <w:tc>
          <w:tcPr>
            <w:tcW w:w="355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275"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3"/>
          <w:wAfter w:w="3358" w:type="dxa"/>
          <w:trHeight w:val="580" w:hRule="atLeas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3"/>
          <w:wAfter w:w="3358" w:type="dxa"/>
          <w:trHeight w:val="295" w:hRule="atLeas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3,443.81</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10,486.54</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101.50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30.46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30.46</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24,186.54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24,186.54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378.25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378.25</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2,850.23</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2,850.23</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83.37</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83.37</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13,930.35</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27,630.35</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3,443.81</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24,186.54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14,000.00</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300.00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300.00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 w:val="20"/>
                <w:szCs w:val="20"/>
                <w:lang w:bidi="ar"/>
              </w:rPr>
            </w:pPr>
            <w:r>
              <w:rPr>
                <w:rFonts w:hint="eastAsia"/>
                <w:sz w:val="18"/>
                <w:szCs w:val="21"/>
              </w:rPr>
              <w:t>一般公共预算财政拨款</w:t>
            </w: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 w:val="20"/>
                <w:szCs w:val="20"/>
                <w:lang w:bidi="ar"/>
              </w:rPr>
            </w:pPr>
            <w:r>
              <w:rPr>
                <w:rFonts w:hint="eastAsia"/>
                <w:sz w:val="18"/>
                <w:szCs w:val="21"/>
              </w:rPr>
              <w:t>政府性基金预算财政拨款</w:t>
            </w: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14,000.00</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 w:val="20"/>
                <w:szCs w:val="20"/>
                <w:lang w:bidi="ar"/>
              </w:rPr>
            </w:pPr>
            <w:r>
              <w:rPr>
                <w:rFonts w:hint="eastAsia"/>
                <w:sz w:val="16"/>
                <w:szCs w:val="20"/>
              </w:rPr>
              <w:t>国有资本经营预算财政拨款</w:t>
            </w: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3"/>
          <w:wAfter w:w="3358" w:type="dxa"/>
          <w:trHeight w:val="329" w:hRule="exact"/>
        </w:trPr>
        <w:tc>
          <w:tcPr>
            <w:tcW w:w="2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27,930.35</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27,930.35</w:t>
            </w: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3,443.81</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24,486.54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585" w:hRule="atLeast"/>
        </w:trPr>
        <w:tc>
          <w:tcPr>
            <w:tcW w:w="10830" w:type="dxa"/>
            <w:gridSpan w:val="16"/>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7"/>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gridSpan w:val="2"/>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3"/>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406" w:type="dxa"/>
            <w:gridSpan w:val="6"/>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15"/>
                <w:szCs w:val="15"/>
                <w:lang w:val="en-US" w:eastAsia="zh-CN"/>
              </w:rPr>
              <w:t>大厂回族自治县自然资源和规划局</w:t>
            </w:r>
            <w:r>
              <w:rPr>
                <w:rFonts w:hint="eastAsia" w:ascii="宋体" w:hAnsi="宋体" w:eastAsia="宋体" w:cs="宋体"/>
                <w:color w:val="000000"/>
                <w:sz w:val="20"/>
                <w:szCs w:val="20"/>
              </w:rPr>
              <w:t xml:space="preserve">             </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4"/>
                <w:rFonts w:hint="default"/>
                <w:lang w:bidi="ar"/>
              </w:rPr>
              <w:t xml:space="preserve">   </w:t>
            </w:r>
            <w:r>
              <w:rPr>
                <w:rStyle w:val="15"/>
                <w:rFonts w:hint="default"/>
                <w:lang w:bidi="ar"/>
              </w:rPr>
              <w:t>目</w:t>
            </w:r>
          </w:p>
        </w:tc>
        <w:tc>
          <w:tcPr>
            <w:tcW w:w="684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3,443.81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2,304.47</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1,139.34</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101.50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21011</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2101101</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行政单位医疗</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30.46</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农林水支出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378.25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378.25</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林业和草原</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378.25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378.25</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2130205</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森林资源培育</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2130207</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森林资源管理</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221.40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221.40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2130211</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动植物保护</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2130234</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林业草原防灾减灾</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152.85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152.85</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2,850.23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2,089.14</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761.09</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自然资源事务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2,850.23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2,089.14</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761.09</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2200101</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2,089.14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2,089.14</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2200102</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一般行政管理事务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253.13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253.13</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2200104</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自然资源规划及管理</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2200106</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319.16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319.16</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2200109</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自然资源调查与确权登记</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9.98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9.98</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2200114</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地质勘查与矿产资源管理</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2200129</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基础测绘与地理信息监管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129.82</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129.82</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83.37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83.37</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83.37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83.37</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30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住房公积金</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83.37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83.37</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930" w:hRule="atLeast"/>
        </w:trPr>
        <w:tc>
          <w:tcPr>
            <w:tcW w:w="10848" w:type="dxa"/>
            <w:gridSpan w:val="17"/>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8"/>
        <w:tblW w:w="15429" w:type="dxa"/>
        <w:tblInd w:w="0" w:type="dxa"/>
        <w:tblLayout w:type="fixed"/>
        <w:tblCellMar>
          <w:top w:w="15" w:type="dxa"/>
          <w:left w:w="15" w:type="dxa"/>
          <w:bottom w:w="15" w:type="dxa"/>
          <w:right w:w="15" w:type="dxa"/>
        </w:tblCellMar>
      </w:tblPr>
      <w:tblGrid>
        <w:gridCol w:w="667"/>
        <w:gridCol w:w="1902"/>
        <w:gridCol w:w="1098"/>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6"/>
                <w:rFonts w:hint="default"/>
                <w:lang w:bidi="ar"/>
              </w:rPr>
              <w:t>明细</w:t>
            </w:r>
            <w:r>
              <w:rPr>
                <w:rStyle w:val="17"/>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1902" w:type="dxa"/>
            <w:shd w:val="clear" w:color="auto" w:fill="FFFFFF"/>
            <w:vAlign w:val="center"/>
          </w:tcPr>
          <w:p>
            <w:pPr>
              <w:jc w:val="center"/>
              <w:rPr>
                <w:rFonts w:ascii="宋体" w:hAnsi="宋体" w:eastAsia="宋体" w:cs="宋体"/>
                <w:color w:val="000000"/>
                <w:sz w:val="20"/>
                <w:szCs w:val="20"/>
              </w:rPr>
            </w:pPr>
          </w:p>
        </w:tc>
        <w:tc>
          <w:tcPr>
            <w:tcW w:w="1098"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000" w:type="dxa"/>
            <w:gridSpan w:val="2"/>
            <w:shd w:val="clear" w:color="auto" w:fill="auto"/>
            <w:vAlign w:val="center"/>
          </w:tcPr>
          <w:p>
            <w:pP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大厂回族自治县自然资源和规划局</w:t>
            </w: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1,816.55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308.25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基本工资</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284.74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40.40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津贴补贴</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230.15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奖金</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335.84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23.20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伙食补助费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绩效工资</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132.85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0.45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机关事业单位基本养老保险缴费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101.50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9.61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职业年金缴费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74.33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职工基本医疗保险缴费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30.46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8.25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公务员医疗补助缴费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9.48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其他社会保障缴费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21.27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7.32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住房公积金</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83.37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医疗费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其他工资福利支出</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596.37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45.98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156.47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离休费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23.20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退休费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153.64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0.69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退职（役）费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抚恤金</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生活补助</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2.70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救济费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医疗费补助</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45.34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助学金</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11.00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奖励金</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0.13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10.66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个人农业生产补贴</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15.08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代缴社会保险费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18.54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其他对个人和家庭的补助</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5.12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5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1,973.02</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331.45</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8"/>
        <w:tblW w:w="10350" w:type="dxa"/>
        <w:tblInd w:w="0" w:type="dxa"/>
        <w:tblLayout w:type="fixed"/>
        <w:tblCellMar>
          <w:top w:w="15" w:type="dxa"/>
          <w:left w:w="15" w:type="dxa"/>
          <w:bottom w:w="15" w:type="dxa"/>
          <w:right w:w="15" w:type="dxa"/>
        </w:tblCellMar>
      </w:tblPr>
      <w:tblGrid>
        <w:gridCol w:w="555"/>
        <w:gridCol w:w="433"/>
        <w:gridCol w:w="1968"/>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433" w:type="dxa"/>
            <w:shd w:val="clear" w:color="auto" w:fill="FFFFFF"/>
            <w:vAlign w:val="center"/>
          </w:tcPr>
          <w:p>
            <w:pPr>
              <w:jc w:val="center"/>
              <w:rPr>
                <w:rFonts w:ascii="宋体" w:hAnsi="宋体" w:eastAsia="宋体" w:cs="宋体"/>
                <w:color w:val="000000"/>
                <w:sz w:val="20"/>
                <w:szCs w:val="20"/>
              </w:rPr>
            </w:pPr>
          </w:p>
        </w:tc>
        <w:tc>
          <w:tcPr>
            <w:tcW w:w="1968"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401" w:type="dxa"/>
            <w:gridSpan w:val="2"/>
            <w:shd w:val="clear" w:color="auto" w:fill="FFFFFF"/>
            <w:vAlign w:val="center"/>
          </w:tcPr>
          <w:p>
            <w:pPr>
              <w:jc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大厂回族自治县自然资源和规划局</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8"/>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9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14,000.00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10,486.54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24,186.54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24,186.54</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300.00</w:t>
            </w:r>
          </w:p>
        </w:tc>
      </w:tr>
      <w:tr>
        <w:tblPrEx>
          <w:tblCellMar>
            <w:top w:w="15" w:type="dxa"/>
            <w:left w:w="15" w:type="dxa"/>
            <w:bottom w:w="15" w:type="dxa"/>
            <w:right w:w="15" w:type="dxa"/>
          </w:tblCellMar>
        </w:tblPrEx>
        <w:trPr>
          <w:trHeight w:val="450" w:hRule="atLeast"/>
        </w:trPr>
        <w:tc>
          <w:tcPr>
            <w:tcW w:w="9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城乡社区支出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10,486.54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24,186.54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24,186.54</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300.00</w:t>
            </w:r>
          </w:p>
        </w:tc>
      </w:tr>
      <w:tr>
        <w:tblPrEx>
          <w:tblCellMar>
            <w:top w:w="15" w:type="dxa"/>
            <w:left w:w="15" w:type="dxa"/>
            <w:bottom w:w="15" w:type="dxa"/>
            <w:right w:w="15" w:type="dxa"/>
          </w:tblCellMar>
        </w:tblPrEx>
        <w:trPr>
          <w:trHeight w:val="450" w:hRule="atLeast"/>
        </w:trPr>
        <w:tc>
          <w:tcPr>
            <w:tcW w:w="9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21208</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6,486.54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20,186.54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20,186.54</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300.00</w:t>
            </w:r>
          </w:p>
        </w:tc>
      </w:tr>
      <w:tr>
        <w:tblPrEx>
          <w:tblCellMar>
            <w:top w:w="15" w:type="dxa"/>
            <w:left w:w="15" w:type="dxa"/>
            <w:bottom w:w="15" w:type="dxa"/>
            <w:right w:w="15" w:type="dxa"/>
          </w:tblCellMar>
        </w:tblPrEx>
        <w:trPr>
          <w:trHeight w:val="450" w:hRule="atLeast"/>
        </w:trPr>
        <w:tc>
          <w:tcPr>
            <w:tcW w:w="9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2120899</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6,486.54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20,186.54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20,186.54</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300.00</w:t>
            </w:r>
          </w:p>
        </w:tc>
      </w:tr>
      <w:tr>
        <w:tblPrEx>
          <w:tblCellMar>
            <w:top w:w="15" w:type="dxa"/>
            <w:left w:w="15" w:type="dxa"/>
            <w:bottom w:w="15" w:type="dxa"/>
            <w:right w:w="15" w:type="dxa"/>
          </w:tblCellMar>
        </w:tblPrEx>
        <w:trPr>
          <w:trHeight w:val="450" w:hRule="atLeast"/>
        </w:trPr>
        <w:tc>
          <w:tcPr>
            <w:tcW w:w="9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21210</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国有土地收益基金安排的支出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9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2121099</w:t>
            </w:r>
          </w:p>
        </w:tc>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其他国有土地收益基金支出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4,000.00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rPr>
            </w:pPr>
            <w:r>
              <w:rPr>
                <w:rFonts w:hint="eastAsia" w:ascii="宋体" w:hAnsi="宋体" w:eastAsia="宋体" w:cs="宋体"/>
                <w:color w:val="000000"/>
                <w:kern w:val="0"/>
                <w:sz w:val="24"/>
                <w:szCs w:val="24"/>
                <w:lang w:bidi="ar"/>
              </w:rPr>
              <w:t>注：本表反映部门本年度政府性基金预算财政拨款收入、支出及结转和结余情况。</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8"/>
        <w:tblW w:w="10422" w:type="dxa"/>
        <w:tblInd w:w="0" w:type="dxa"/>
        <w:tblLayout w:type="fixed"/>
        <w:tblCellMar>
          <w:top w:w="15" w:type="dxa"/>
          <w:left w:w="15" w:type="dxa"/>
          <w:bottom w:w="15" w:type="dxa"/>
          <w:right w:w="15" w:type="dxa"/>
        </w:tblCellMar>
      </w:tblPr>
      <w:tblGrid>
        <w:gridCol w:w="649"/>
        <w:gridCol w:w="543"/>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372" w:hRule="atLeast"/>
        </w:trPr>
        <w:tc>
          <w:tcPr>
            <w:tcW w:w="649" w:type="dxa"/>
            <w:shd w:val="clear" w:color="auto" w:fill="FFFFFF"/>
            <w:vAlign w:val="center"/>
          </w:tcPr>
          <w:p>
            <w:pPr>
              <w:jc w:val="center"/>
              <w:rPr>
                <w:rFonts w:ascii="宋体" w:hAnsi="宋体" w:eastAsia="宋体" w:cs="宋体"/>
                <w:color w:val="000000"/>
                <w:sz w:val="20"/>
                <w:szCs w:val="20"/>
              </w:rPr>
            </w:pPr>
          </w:p>
        </w:tc>
        <w:tc>
          <w:tcPr>
            <w:tcW w:w="1362"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649"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418" w:type="dxa"/>
            <w:gridSpan w:val="3"/>
            <w:shd w:val="clear" w:color="auto" w:fill="FFFFFF"/>
            <w:vAlign w:val="center"/>
          </w:tcPr>
          <w:p>
            <w:pPr>
              <w:jc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大厂回族自治县自然资源和规划局</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0.00</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0.00</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lang w:bidi="ar"/>
              </w:rPr>
              <w:t>注：本表反映部门本年度国有资本经营预算财政拨款支出情况。</w:t>
            </w: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8"/>
        <w:tblW w:w="13090" w:type="dxa"/>
        <w:tblInd w:w="-552" w:type="dxa"/>
        <w:tblLayout w:type="fixed"/>
        <w:tblCellMar>
          <w:top w:w="15" w:type="dxa"/>
          <w:left w:w="15" w:type="dxa"/>
          <w:bottom w:w="15" w:type="dxa"/>
          <w:right w:w="15" w:type="dxa"/>
        </w:tblCellMar>
      </w:tblPr>
      <w:tblGrid>
        <w:gridCol w:w="723"/>
        <w:gridCol w:w="108"/>
        <w:gridCol w:w="71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831" w:type="dxa"/>
            <w:gridSpan w:val="2"/>
            <w:shd w:val="clear" w:color="auto" w:fill="auto"/>
            <w:vAlign w:val="center"/>
          </w:tcPr>
          <w:p>
            <w:pPr>
              <w:jc w:val="center"/>
              <w:rPr>
                <w:rFonts w:ascii="宋体" w:hAnsi="宋体" w:eastAsia="宋体" w:cs="宋体"/>
                <w:color w:val="000000"/>
                <w:sz w:val="24"/>
              </w:rPr>
            </w:pPr>
          </w:p>
        </w:tc>
        <w:tc>
          <w:tcPr>
            <w:tcW w:w="142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831"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483" w:type="dxa"/>
            <w:gridSpan w:val="5"/>
            <w:shd w:val="clear" w:color="auto" w:fill="FFFFFF"/>
            <w:vAlign w:val="center"/>
          </w:tcPr>
          <w:p>
            <w:pPr>
              <w:jc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大厂回族自治县自然资源和规划局</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公务用车</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39.61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38.28</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23.20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15.08</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1.33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38.97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38.28</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23.20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15.08</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0.69</w:t>
            </w: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27932.28</w:t>
      </w:r>
      <w:r>
        <w:rPr>
          <w:rFonts w:hint="eastAsia" w:ascii="仿宋_GB2312" w:hAnsi="Times New Roman" w:eastAsia="仿宋_GB2312" w:cs="DengXian-Regular"/>
          <w:sz w:val="32"/>
          <w:szCs w:val="32"/>
        </w:rPr>
        <w:t>万元。与2021年度决算相比，收支各减少</w:t>
      </w:r>
      <w:r>
        <w:rPr>
          <w:rFonts w:hint="eastAsia" w:ascii="仿宋_GB2312" w:hAnsi="Times New Roman" w:eastAsia="仿宋_GB2312" w:cs="DengXian-Regular"/>
          <w:sz w:val="32"/>
          <w:szCs w:val="32"/>
          <w:lang w:val="en-US" w:eastAsia="zh-CN"/>
        </w:rPr>
        <w:t>47733.54</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63.08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财力紧张，财政拨款收入减少，政府性基金拨款收入减少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Wingdings"/>
          <w:sz w:val="32"/>
          <w:szCs w:val="32"/>
        </w:rPr>
        <w:drawing>
          <wp:anchor distT="0" distB="0" distL="114300" distR="114300" simplePos="0" relativeHeight="251673600" behindDoc="0" locked="0" layoutInCell="1" allowOverlap="1">
            <wp:simplePos x="0" y="0"/>
            <wp:positionH relativeFrom="column">
              <wp:posOffset>628015</wp:posOffset>
            </wp:positionH>
            <wp:positionV relativeFrom="paragraph">
              <wp:posOffset>335915</wp:posOffset>
            </wp:positionV>
            <wp:extent cx="4157980" cy="2449830"/>
            <wp:effectExtent l="0" t="0" r="13970" b="7620"/>
            <wp:wrapTopAndBottom/>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13930.35</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13930.35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27632.13</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2304.47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8.33</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25327.65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91.67</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utoSpaceDE w:val="0"/>
        <w:autoSpaceDN w:val="0"/>
        <w:adjustRightInd w:val="0"/>
        <w:ind w:left="200" w:firstLine="420" w:firstLineChars="200"/>
        <w:jc w:val="left"/>
        <w:rPr>
          <w:rFonts w:hint="eastAsia" w:ascii="仿宋_GB2312" w:hAnsi="Times New Roman" w:eastAsia="仿宋_GB2312" w:cs="DengXian-Regular"/>
          <w:sz w:val="32"/>
          <w:szCs w:val="32"/>
          <w:highlight w:val="yellow"/>
        </w:rPr>
      </w:pPr>
      <w:r>
        <w:rPr>
          <w:rFonts w:ascii="Times New Roman" w:hAnsi="Times New Roman" w:eastAsia="宋体" w:cs="Times New Roman"/>
        </w:rPr>
        <w:drawing>
          <wp:anchor distT="0" distB="0" distL="114300" distR="114300" simplePos="0" relativeHeight="251674624" behindDoc="0" locked="0" layoutInCell="1" allowOverlap="1">
            <wp:simplePos x="0" y="0"/>
            <wp:positionH relativeFrom="column">
              <wp:posOffset>1127760</wp:posOffset>
            </wp:positionH>
            <wp:positionV relativeFrom="paragraph">
              <wp:posOffset>6350</wp:posOffset>
            </wp:positionV>
            <wp:extent cx="3453130" cy="2823845"/>
            <wp:effectExtent l="4445" t="5080" r="9525" b="952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13930.35</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53207.52</w:t>
      </w:r>
      <w:r>
        <w:rPr>
          <w:rFonts w:hint="eastAsia" w:ascii="仿宋_GB2312" w:hAnsi="Times New Roman" w:eastAsia="仿宋_GB2312" w:cs="DengXian-Regular"/>
          <w:sz w:val="32"/>
          <w:szCs w:val="32"/>
        </w:rPr>
        <w:t>万元，</w:t>
      </w:r>
      <w:r>
        <w:rPr>
          <w:rFonts w:hint="eastAsia" w:ascii="仿宋_GB2312" w:hAnsi="Times New Roman" w:eastAsia="仿宋_GB2312" w:cs="DengXian-Regular"/>
          <w:color w:val="auto"/>
          <w:sz w:val="32"/>
          <w:szCs w:val="32"/>
        </w:rPr>
        <w:t>降低</w:t>
      </w:r>
      <w:r>
        <w:rPr>
          <w:rFonts w:hint="eastAsia" w:ascii="仿宋_GB2312" w:hAnsi="Times New Roman" w:eastAsia="仿宋_GB2312" w:cs="DengXian-Regular"/>
          <w:color w:val="auto"/>
          <w:sz w:val="32"/>
          <w:szCs w:val="32"/>
          <w:lang w:val="en-US" w:eastAsia="zh-CN"/>
        </w:rPr>
        <w:t>79.25</w:t>
      </w:r>
      <w:r>
        <w:rPr>
          <w:rFonts w:hint="eastAsia" w:ascii="仿宋_GB2312" w:hAnsi="Times New Roman" w:eastAsia="仿宋_GB2312" w:cs="DengXian-Regular"/>
          <w:color w:val="auto"/>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财力紧张，财政拨款收入减少，政府性基金拨款收入减少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27632.13</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48031.76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63.48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财力紧张，财政拨款收入减少，政府性基金拨款收入减少</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3443.81</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1269.06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26.93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财力紧张，财政拨款收入减少，</w:t>
      </w:r>
      <w:r>
        <w:rPr>
          <w:rFonts w:hint="eastAsia" w:ascii="仿宋_GB2312" w:hAnsi="Times New Roman" w:eastAsia="仿宋_GB2312" w:cs="DengXian-Regular"/>
          <w:sz w:val="32"/>
          <w:szCs w:val="32"/>
        </w:rPr>
        <w:t>一般公共预算财政拨款</w:t>
      </w:r>
      <w:r>
        <w:rPr>
          <w:rFonts w:hint="eastAsia" w:ascii="仿宋_GB2312" w:hAnsi="Times New Roman" w:eastAsia="仿宋_GB2312" w:cs="DengXian-Regular"/>
          <w:sz w:val="32"/>
          <w:szCs w:val="32"/>
          <w:lang w:val="en-US" w:eastAsia="zh-CN"/>
        </w:rPr>
        <w:t>收入减少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3443.81</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1352.2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28.19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财力紧张，财政拨款收入减少，</w:t>
      </w:r>
      <w:r>
        <w:rPr>
          <w:rFonts w:hint="eastAsia" w:ascii="仿宋_GB2312" w:hAnsi="Times New Roman" w:eastAsia="仿宋_GB2312" w:cs="DengXian-Regular"/>
          <w:sz w:val="32"/>
          <w:szCs w:val="32"/>
        </w:rPr>
        <w:t>一般公共预算财政拨款</w:t>
      </w:r>
      <w:r>
        <w:rPr>
          <w:rFonts w:hint="eastAsia" w:ascii="仿宋_GB2312" w:hAnsi="Times New Roman" w:eastAsia="仿宋_GB2312" w:cs="DengXian-Regular"/>
          <w:sz w:val="32"/>
          <w:szCs w:val="32"/>
          <w:lang w:val="en-US" w:eastAsia="zh-CN"/>
        </w:rPr>
        <w:t>收入减少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10486.54</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51938.46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83.20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财力紧张，财政拨款收入减少，政府性基金拨款收入减少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24186.54</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46678.46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65.87</w:t>
      </w:r>
      <w:r>
        <w:rPr>
          <w:rFonts w:hint="eastAsia" w:ascii="仿宋_GB2312" w:hAnsi="Times New Roman" w:eastAsia="仿宋_GB2312" w:cs="DengXian-Regular"/>
          <w:sz w:val="32"/>
          <w:szCs w:val="32"/>
        </w:rPr>
        <w:t>%，主要原因是主要是</w:t>
      </w:r>
      <w:r>
        <w:rPr>
          <w:rFonts w:hint="eastAsia" w:ascii="仿宋_GB2312" w:hAnsi="Times New Roman" w:eastAsia="仿宋_GB2312" w:cs="DengXian-Regular"/>
          <w:sz w:val="32"/>
          <w:szCs w:val="32"/>
          <w:lang w:val="en-US" w:eastAsia="zh-CN"/>
        </w:rPr>
        <w:t>财力紧张，财政拨款收入减少，政府性基金拨款收入减少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w:t>
      </w:r>
      <w:r>
        <w:rPr>
          <w:rFonts w:hint="eastAsia" w:ascii="仿宋_GB2312" w:hAnsi="Times New Roman" w:eastAsia="仿宋_GB2312" w:cs="DengXian-Regular"/>
          <w:sz w:val="32"/>
          <w:szCs w:val="32"/>
          <w:lang w:eastAsia="zh-CN"/>
        </w:rPr>
        <w:t>无增减变化。</w:t>
      </w:r>
    </w:p>
    <w:p>
      <w:pPr>
        <w:adjustRightInd w:val="0"/>
        <w:snapToGrid w:val="0"/>
        <w:spacing w:line="580" w:lineRule="exact"/>
        <w:ind w:firstLine="643" w:firstLineChars="200"/>
        <w:rPr>
          <w:rFonts w:hint="eastAsia" w:ascii="仿宋_GB2312" w:hAnsi="Times New Roman" w:eastAsia="仿宋_GB2312" w:cs="DengXian-Regular"/>
          <w:sz w:val="32"/>
          <w:szCs w:val="32"/>
          <w:highlight w:val="yellow"/>
        </w:rPr>
      </w:pPr>
      <w:r>
        <w:rPr>
          <w:rFonts w:hint="eastAsia" w:ascii="楷体_GB2312" w:hAnsi="Times New Roman" w:eastAsia="楷体_GB2312" w:cs="Mongolian Baiti"/>
          <w:b/>
          <w:bCs/>
          <w:sz w:val="32"/>
          <w:szCs w:val="32"/>
        </w:rPr>
        <w:drawing>
          <wp:anchor distT="0" distB="0" distL="114300" distR="114300" simplePos="0" relativeHeight="251675648" behindDoc="0" locked="0" layoutInCell="1" allowOverlap="1">
            <wp:simplePos x="0" y="0"/>
            <wp:positionH relativeFrom="column">
              <wp:posOffset>565785</wp:posOffset>
            </wp:positionH>
            <wp:positionV relativeFrom="paragraph">
              <wp:posOffset>346710</wp:posOffset>
            </wp:positionV>
            <wp:extent cx="4422775" cy="3181350"/>
            <wp:effectExtent l="5080" t="4445" r="10795" b="14605"/>
            <wp:wrapTopAndBottom/>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snapToGrid w:val="0"/>
        <w:spacing w:line="580" w:lineRule="exact"/>
        <w:ind w:firstLine="643" w:firstLineChars="200"/>
        <w:rPr>
          <w:rFonts w:ascii="仿宋_GB2312" w:hAnsi="Times New Roman" w:eastAsia="仿宋_GB2312" w:cs="DengXian-Bold"/>
          <w:b/>
          <w:bCs/>
          <w:color w:val="auto"/>
          <w:sz w:val="32"/>
          <w:szCs w:val="32"/>
        </w:rPr>
      </w:pPr>
      <w:r>
        <w:rPr>
          <w:rFonts w:hint="eastAsia" w:ascii="楷体_GB2312" w:hAnsi="Times New Roman" w:eastAsia="楷体_GB2312" w:cs="DengXian-Bold"/>
          <w:b/>
          <w:bCs/>
          <w:color w:val="auto"/>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13930.35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35.39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25436.79</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val="en-US" w:eastAsia="zh-CN"/>
        </w:rPr>
        <w:t>财力紧张，财政拨款收入减少，政府性基金拨款收入减少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27632.13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70.19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11735.01</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val="en-US" w:eastAsia="zh-CN"/>
        </w:rPr>
        <w:t>财力紧张，财政拨款收入减少，政府性基金拨款收入减少</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78.86</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923.33</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财力紧张，财政拨款收入减少，</w:t>
      </w:r>
      <w:r>
        <w:rPr>
          <w:rFonts w:hint="eastAsia" w:ascii="仿宋_GB2312" w:hAnsi="Times New Roman" w:eastAsia="仿宋_GB2312" w:cs="DengXian-Regular"/>
          <w:sz w:val="32"/>
          <w:szCs w:val="32"/>
        </w:rPr>
        <w:t>一般公共预算财政拨款</w:t>
      </w:r>
      <w:r>
        <w:rPr>
          <w:rFonts w:hint="eastAsia" w:ascii="仿宋_GB2312" w:hAnsi="Times New Roman" w:eastAsia="仿宋_GB2312" w:cs="DengXian-Regular"/>
          <w:sz w:val="32"/>
          <w:szCs w:val="32"/>
          <w:lang w:val="en-US" w:eastAsia="zh-CN"/>
        </w:rPr>
        <w:t>收入减少</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78.86</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923.33</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财力紧张，财政拨款收入减少，</w:t>
      </w:r>
      <w:r>
        <w:rPr>
          <w:rFonts w:hint="eastAsia" w:ascii="仿宋_GB2312" w:hAnsi="Times New Roman" w:eastAsia="仿宋_GB2312" w:cs="DengXian-Regular"/>
          <w:sz w:val="32"/>
          <w:szCs w:val="32"/>
        </w:rPr>
        <w:t>一般公共预算财政拨款</w:t>
      </w:r>
      <w:r>
        <w:rPr>
          <w:rFonts w:hint="eastAsia" w:ascii="仿宋_GB2312" w:hAnsi="Times New Roman" w:eastAsia="仿宋_GB2312" w:cs="DengXian-Regular"/>
          <w:sz w:val="32"/>
          <w:szCs w:val="32"/>
          <w:lang w:val="en-US" w:eastAsia="zh-CN"/>
        </w:rPr>
        <w:t>收入减少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29.96</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24513.46</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财力紧张，财政拨款收入减少，政府性基金拨款收入减少</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69.10</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10813.46</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财力紧张，财政拨款收入减少，政府性基金拨款收入减少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eastAsia="zh-CN"/>
        </w:rPr>
        <w:t>无增减变化。</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r>
        <w:rPr>
          <w:rFonts w:hint="eastAsia" w:ascii="仿宋_GB2312" w:hAnsi="Times New Roman" w:eastAsia="仿宋_GB2312" w:cs="Wingdings"/>
          <w:sz w:val="32"/>
          <w:szCs w:val="32"/>
          <w:lang w:eastAsia="zh-CN"/>
        </w:rPr>
        <w:drawing>
          <wp:anchor distT="0" distB="0" distL="114300" distR="114300" simplePos="0" relativeHeight="251676672" behindDoc="0" locked="0" layoutInCell="1" allowOverlap="1">
            <wp:simplePos x="0" y="0"/>
            <wp:positionH relativeFrom="column">
              <wp:posOffset>-253365</wp:posOffset>
            </wp:positionH>
            <wp:positionV relativeFrom="paragraph">
              <wp:posOffset>-8381365</wp:posOffset>
            </wp:positionV>
            <wp:extent cx="5080000" cy="3810000"/>
            <wp:effectExtent l="4445" t="4445" r="20955" b="14605"/>
            <wp:wrapTopAndBottom/>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Wingdings"/>
          <w:sz w:val="32"/>
          <w:szCs w:val="32"/>
          <w:highlight w:val="none"/>
          <w:lang w:eastAsia="zh-CN"/>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27632.13</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highlight w:val="yellow"/>
          <w:lang w:eastAsia="zh-CN"/>
        </w:rPr>
        <w:t>：</w:t>
      </w:r>
      <w:r>
        <w:rPr>
          <w:rFonts w:hint="eastAsia" w:ascii="仿宋_GB2312" w:hAnsi="Times New Roman" w:eastAsia="仿宋_GB2312" w:cs="DengXian-Regular"/>
          <w:sz w:val="32"/>
          <w:szCs w:val="32"/>
        </w:rPr>
        <w:t>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Wingdings"/>
          <w:sz w:val="32"/>
          <w:szCs w:val="32"/>
          <w:highlight w:val="none"/>
        </w:rPr>
        <w:t>自然资源海洋气象等支出</w:t>
      </w:r>
      <w:r>
        <w:rPr>
          <w:rFonts w:hint="eastAsia" w:ascii="仿宋_GB2312" w:hAnsi="Times New Roman" w:eastAsia="仿宋_GB2312" w:cs="Wingdings"/>
          <w:sz w:val="32"/>
          <w:szCs w:val="32"/>
          <w:highlight w:val="none"/>
          <w:lang w:val="en-US" w:eastAsia="zh-CN"/>
        </w:rPr>
        <w:t>2850.23</w:t>
      </w:r>
      <w:r>
        <w:rPr>
          <w:rFonts w:hint="eastAsia" w:ascii="仿宋_GB2312" w:hAnsi="Times New Roman" w:eastAsia="仿宋_GB2312" w:cs="Wingdings"/>
          <w:sz w:val="32"/>
          <w:szCs w:val="32"/>
          <w:highlight w:val="none"/>
        </w:rPr>
        <w:t>万元，占</w:t>
      </w:r>
      <w:r>
        <w:rPr>
          <w:rFonts w:hint="eastAsia" w:ascii="仿宋_GB2312" w:hAnsi="Times New Roman" w:eastAsia="仿宋_GB2312" w:cs="Wingdings"/>
          <w:sz w:val="32"/>
          <w:szCs w:val="32"/>
          <w:highlight w:val="none"/>
          <w:lang w:val="en-US" w:eastAsia="zh-CN"/>
        </w:rPr>
        <w:t>10.31</w:t>
      </w:r>
      <w:r>
        <w:rPr>
          <w:rFonts w:hint="eastAsia" w:ascii="仿宋_GB2312" w:hAnsi="Times New Roman" w:eastAsia="仿宋_GB2312" w:cs="Wingdings"/>
          <w:sz w:val="32"/>
          <w:szCs w:val="32"/>
          <w:highlight w:val="none"/>
        </w:rPr>
        <w:t>%；城乡社区支出</w:t>
      </w:r>
      <w:r>
        <w:rPr>
          <w:rFonts w:hint="eastAsia" w:ascii="仿宋_GB2312" w:hAnsi="Times New Roman" w:eastAsia="仿宋_GB2312" w:cs="Wingdings"/>
          <w:sz w:val="32"/>
          <w:szCs w:val="32"/>
          <w:highlight w:val="none"/>
          <w:lang w:val="en-US" w:eastAsia="zh-CN"/>
        </w:rPr>
        <w:t>24186.54</w:t>
      </w:r>
      <w:r>
        <w:rPr>
          <w:rFonts w:hint="eastAsia" w:ascii="仿宋_GB2312" w:hAnsi="Times New Roman" w:eastAsia="仿宋_GB2312" w:cs="Wingdings"/>
          <w:sz w:val="32"/>
          <w:szCs w:val="32"/>
          <w:highlight w:val="none"/>
        </w:rPr>
        <w:t>万元，占</w:t>
      </w:r>
      <w:r>
        <w:rPr>
          <w:rFonts w:hint="eastAsia" w:ascii="仿宋_GB2312" w:hAnsi="Times New Roman" w:eastAsia="仿宋_GB2312" w:cs="Wingdings"/>
          <w:sz w:val="32"/>
          <w:szCs w:val="32"/>
          <w:highlight w:val="none"/>
          <w:lang w:val="en-US" w:eastAsia="zh-CN"/>
        </w:rPr>
        <w:t>87.53</w:t>
      </w:r>
      <w:r>
        <w:rPr>
          <w:rFonts w:hint="eastAsia" w:ascii="仿宋_GB2312" w:hAnsi="Times New Roman" w:eastAsia="仿宋_GB2312" w:cs="Wingdings"/>
          <w:sz w:val="32"/>
          <w:szCs w:val="32"/>
          <w:highlight w:val="none"/>
        </w:rPr>
        <w:t>%；社会保障和就业支出</w:t>
      </w:r>
      <w:r>
        <w:rPr>
          <w:rFonts w:hint="eastAsia" w:ascii="仿宋_GB2312" w:hAnsi="Times New Roman" w:eastAsia="仿宋_GB2312" w:cs="Wingdings"/>
          <w:sz w:val="32"/>
          <w:szCs w:val="32"/>
          <w:highlight w:val="none"/>
          <w:lang w:val="en-US" w:eastAsia="zh-CN"/>
        </w:rPr>
        <w:t>101.50</w:t>
      </w:r>
      <w:r>
        <w:rPr>
          <w:rFonts w:hint="eastAsia" w:ascii="仿宋_GB2312" w:hAnsi="Times New Roman" w:eastAsia="仿宋_GB2312" w:cs="Wingdings"/>
          <w:sz w:val="32"/>
          <w:szCs w:val="32"/>
          <w:highlight w:val="none"/>
        </w:rPr>
        <w:t>万元，占</w:t>
      </w:r>
      <w:r>
        <w:rPr>
          <w:rFonts w:hint="eastAsia" w:ascii="仿宋_GB2312" w:hAnsi="Times New Roman" w:eastAsia="仿宋_GB2312" w:cs="Wingdings"/>
          <w:sz w:val="32"/>
          <w:szCs w:val="32"/>
          <w:highlight w:val="none"/>
          <w:lang w:val="en-US" w:eastAsia="zh-CN"/>
        </w:rPr>
        <w:t>0.4</w:t>
      </w:r>
      <w:r>
        <w:rPr>
          <w:rFonts w:hint="eastAsia" w:ascii="仿宋_GB2312" w:hAnsi="Times New Roman" w:eastAsia="仿宋_GB2312" w:cs="Wingdings"/>
          <w:sz w:val="32"/>
          <w:szCs w:val="32"/>
          <w:highlight w:val="none"/>
        </w:rPr>
        <w:t>%；农林水支出</w:t>
      </w:r>
      <w:r>
        <w:rPr>
          <w:rFonts w:hint="eastAsia" w:ascii="仿宋_GB2312" w:hAnsi="Times New Roman" w:eastAsia="仿宋_GB2312" w:cs="Wingdings"/>
          <w:sz w:val="32"/>
          <w:szCs w:val="32"/>
          <w:highlight w:val="none"/>
          <w:lang w:val="en-US" w:eastAsia="zh-CN"/>
        </w:rPr>
        <w:t>380.02</w:t>
      </w:r>
      <w:r>
        <w:rPr>
          <w:rFonts w:hint="eastAsia" w:ascii="仿宋_GB2312" w:hAnsi="Times New Roman" w:eastAsia="仿宋_GB2312" w:cs="Wingdings"/>
          <w:sz w:val="32"/>
          <w:szCs w:val="32"/>
          <w:highlight w:val="none"/>
        </w:rPr>
        <w:t>万元，占</w:t>
      </w:r>
      <w:r>
        <w:rPr>
          <w:rFonts w:hint="eastAsia" w:ascii="仿宋_GB2312" w:hAnsi="Times New Roman" w:eastAsia="仿宋_GB2312" w:cs="Wingdings"/>
          <w:sz w:val="32"/>
          <w:szCs w:val="32"/>
          <w:highlight w:val="none"/>
          <w:lang w:val="en-US" w:eastAsia="zh-CN"/>
        </w:rPr>
        <w:t>1.4</w:t>
      </w:r>
      <w:r>
        <w:rPr>
          <w:rFonts w:hint="eastAsia" w:ascii="仿宋_GB2312" w:hAnsi="Times New Roman" w:eastAsia="仿宋_GB2312" w:cs="Wingdings"/>
          <w:sz w:val="32"/>
          <w:szCs w:val="32"/>
          <w:highlight w:val="none"/>
        </w:rPr>
        <w:t>%；卫生健康支出</w:t>
      </w:r>
      <w:r>
        <w:rPr>
          <w:rFonts w:hint="eastAsia" w:ascii="仿宋_GB2312" w:hAnsi="Times New Roman" w:eastAsia="仿宋_GB2312" w:cs="Wingdings"/>
          <w:sz w:val="32"/>
          <w:szCs w:val="32"/>
          <w:highlight w:val="none"/>
          <w:lang w:val="en-US" w:eastAsia="zh-CN"/>
        </w:rPr>
        <w:t>30.46</w:t>
      </w:r>
      <w:r>
        <w:rPr>
          <w:rFonts w:hint="eastAsia" w:ascii="仿宋_GB2312" w:hAnsi="Times New Roman" w:eastAsia="仿宋_GB2312" w:cs="Wingdings"/>
          <w:sz w:val="32"/>
          <w:szCs w:val="32"/>
          <w:highlight w:val="none"/>
        </w:rPr>
        <w:t>万元，占</w:t>
      </w:r>
      <w:r>
        <w:rPr>
          <w:rFonts w:hint="eastAsia" w:ascii="仿宋_GB2312" w:hAnsi="Times New Roman" w:eastAsia="仿宋_GB2312" w:cs="Wingdings"/>
          <w:sz w:val="32"/>
          <w:szCs w:val="32"/>
          <w:highlight w:val="none"/>
          <w:lang w:val="en-US" w:eastAsia="zh-CN"/>
        </w:rPr>
        <w:t>0.1</w:t>
      </w:r>
      <w:r>
        <w:rPr>
          <w:rFonts w:hint="eastAsia" w:ascii="仿宋_GB2312" w:hAnsi="Times New Roman" w:eastAsia="仿宋_GB2312" w:cs="Wingdings"/>
          <w:sz w:val="32"/>
          <w:szCs w:val="32"/>
          <w:highlight w:val="none"/>
        </w:rPr>
        <w:t>%；住房保障（类）支出</w:t>
      </w:r>
      <w:r>
        <w:rPr>
          <w:rFonts w:hint="eastAsia" w:ascii="仿宋_GB2312" w:hAnsi="Times New Roman" w:eastAsia="仿宋_GB2312" w:cs="Wingdings"/>
          <w:sz w:val="32"/>
          <w:szCs w:val="32"/>
          <w:highlight w:val="none"/>
          <w:lang w:val="en-US" w:eastAsia="zh-CN"/>
        </w:rPr>
        <w:t>83.37</w:t>
      </w:r>
      <w:r>
        <w:rPr>
          <w:rFonts w:hint="eastAsia" w:ascii="仿宋_GB2312" w:hAnsi="Times New Roman" w:eastAsia="仿宋_GB2312" w:cs="Wingdings"/>
          <w:sz w:val="32"/>
          <w:szCs w:val="32"/>
          <w:highlight w:val="none"/>
        </w:rPr>
        <w:t>万元，占</w:t>
      </w:r>
      <w:r>
        <w:rPr>
          <w:rFonts w:hint="eastAsia" w:ascii="仿宋_GB2312" w:hAnsi="Times New Roman" w:eastAsia="仿宋_GB2312" w:cs="Wingdings"/>
          <w:sz w:val="32"/>
          <w:szCs w:val="32"/>
          <w:highlight w:val="none"/>
          <w:lang w:val="en-US" w:eastAsia="zh-CN"/>
        </w:rPr>
        <w:t>0.3</w:t>
      </w:r>
      <w:r>
        <w:rPr>
          <w:rFonts w:hint="eastAsia" w:ascii="仿宋_GB2312" w:hAnsi="Times New Roman" w:eastAsia="仿宋_GB2312" w:cs="Wingdings"/>
          <w:sz w:val="32"/>
          <w:szCs w:val="32"/>
          <w:highlight w:val="none"/>
        </w:rPr>
        <w:t>%</w:t>
      </w:r>
      <w:r>
        <w:rPr>
          <w:rFonts w:hint="eastAsia" w:ascii="仿宋_GB2312" w:hAnsi="Times New Roman" w:eastAsia="仿宋_GB2312" w:cs="Wingdings"/>
          <w:sz w:val="32"/>
          <w:szCs w:val="32"/>
          <w:highlight w:val="none"/>
          <w:lang w:eastAsia="zh-CN"/>
        </w:rPr>
        <w:t>。</w:t>
      </w:r>
    </w:p>
    <w:p>
      <w:pPr>
        <w:adjustRightInd w:val="0"/>
        <w:snapToGrid w:val="0"/>
        <w:spacing w:line="580" w:lineRule="exact"/>
        <w:ind w:firstLine="420" w:firstLineChars="200"/>
        <w:rPr>
          <w:rFonts w:hint="eastAsia" w:ascii="仿宋_GB2312" w:hAnsi="Times New Roman" w:eastAsia="仿宋_GB2312" w:cs="Wingdings"/>
          <w:sz w:val="32"/>
          <w:szCs w:val="32"/>
          <w:highlight w:val="none"/>
          <w:lang w:eastAsia="zh-CN"/>
        </w:rPr>
      </w:pPr>
      <w:r>
        <w:rPr>
          <w:rFonts w:ascii="Times New Roman" w:hAnsi="Times New Roman" w:eastAsia="宋体" w:cs="Times New Roman"/>
        </w:rPr>
        <w:drawing>
          <wp:anchor distT="0" distB="0" distL="114300" distR="114300" simplePos="0" relativeHeight="251677696" behindDoc="0" locked="0" layoutInCell="1" allowOverlap="1">
            <wp:simplePos x="0" y="0"/>
            <wp:positionH relativeFrom="column">
              <wp:posOffset>842010</wp:posOffset>
            </wp:positionH>
            <wp:positionV relativeFrom="paragraph">
              <wp:posOffset>229235</wp:posOffset>
            </wp:positionV>
            <wp:extent cx="3220085" cy="1877695"/>
            <wp:effectExtent l="4445" t="4445" r="13970" b="22860"/>
            <wp:wrapTopAndBottom/>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2304.47</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1973.02</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331.45</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39.61</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38.97</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98.38</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0.64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1.62</w:t>
      </w:r>
      <w:r>
        <w:rPr>
          <w:rFonts w:hint="eastAsia" w:ascii="仿宋_GB2312" w:hAnsi="Times New Roman" w:eastAsia="仿宋_GB2312" w:cs="DengXian-Regular"/>
          <w:sz w:val="32"/>
          <w:szCs w:val="32"/>
        </w:rPr>
        <w:t>%，主要是主要是</w:t>
      </w:r>
      <w:r>
        <w:rPr>
          <w:rFonts w:hint="eastAsia" w:ascii="仿宋_GB2312" w:hAnsi="Times New Roman" w:eastAsia="仿宋_GB2312" w:cs="DengXian-Regular"/>
          <w:sz w:val="32"/>
          <w:szCs w:val="32"/>
          <w:lang w:eastAsia="zh-CN"/>
        </w:rPr>
        <w:t>公务接待活动减少</w:t>
      </w:r>
      <w:r>
        <w:rPr>
          <w:rFonts w:hint="eastAsia" w:ascii="仿宋_GB2312" w:hAnsi="Times New Roman" w:eastAsia="仿宋_GB2312" w:cs="DengXian-Regular"/>
          <w:sz w:val="32"/>
          <w:szCs w:val="32"/>
        </w:rPr>
        <w:t>；较2021年度决算增加</w:t>
      </w:r>
      <w:r>
        <w:rPr>
          <w:rFonts w:hint="eastAsia" w:ascii="仿宋_GB2312" w:hAnsi="Times New Roman" w:eastAsia="仿宋_GB2312" w:cs="DengXian-Regular"/>
          <w:sz w:val="32"/>
          <w:szCs w:val="32"/>
          <w:lang w:val="en-US" w:eastAsia="zh-CN"/>
        </w:rPr>
        <w:t>25.61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191.69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更新购置公务用车2辆</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r>
        <w:rPr>
          <w:rFonts w:hint="eastAsia" w:ascii="仿宋_GB2312" w:hAnsi="Times New Roman" w:eastAsia="仿宋_GB2312" w:cs="Wingdings"/>
          <w:sz w:val="32"/>
          <w:szCs w:val="32"/>
        </w:rPr>
        <w:t>因公出国（境）费支出较预算</w:t>
      </w:r>
      <w:r>
        <w:rPr>
          <w:rFonts w:hint="eastAsia" w:ascii="仿宋_GB2312" w:hAnsi="Times New Roman" w:eastAsia="仿宋_GB2312" w:cs="Wingdings"/>
          <w:sz w:val="32"/>
          <w:szCs w:val="32"/>
          <w:lang w:eastAsia="zh-CN"/>
        </w:rPr>
        <w:t>无增减变化</w:t>
      </w:r>
      <w:r>
        <w:rPr>
          <w:rFonts w:hint="eastAsia" w:ascii="仿宋_GB2312" w:hAnsi="Times New Roman" w:eastAsia="仿宋_GB2312" w:cs="Wingdings"/>
          <w:sz w:val="32"/>
          <w:szCs w:val="32"/>
        </w:rPr>
        <w:t>,主要是与预算持平；较上年</w:t>
      </w:r>
      <w:r>
        <w:rPr>
          <w:rFonts w:hint="eastAsia" w:ascii="仿宋_GB2312" w:hAnsi="Times New Roman" w:eastAsia="仿宋_GB2312" w:cs="Wingdings"/>
          <w:sz w:val="32"/>
          <w:szCs w:val="32"/>
          <w:lang w:eastAsia="zh-CN"/>
        </w:rPr>
        <w:t>无增减变化</w:t>
      </w:r>
      <w:r>
        <w:rPr>
          <w:rFonts w:hint="eastAsia" w:ascii="仿宋_GB2312" w:hAnsi="Times New Roman" w:eastAsia="仿宋_GB2312" w:cs="Wingdings"/>
          <w:sz w:val="32"/>
          <w:szCs w:val="32"/>
        </w:rPr>
        <w:t>,主要是与20</w:t>
      </w:r>
      <w:r>
        <w:rPr>
          <w:rFonts w:hint="eastAsia" w:ascii="仿宋_GB2312" w:hAnsi="Times New Roman" w:eastAsia="仿宋_GB2312" w:cs="Wingdings"/>
          <w:sz w:val="32"/>
          <w:szCs w:val="32"/>
          <w:lang w:val="en-US" w:eastAsia="zh-CN"/>
        </w:rPr>
        <w:t>21</w:t>
      </w:r>
      <w:r>
        <w:rPr>
          <w:rFonts w:hint="eastAsia" w:ascii="仿宋_GB2312" w:hAnsi="Times New Roman" w:eastAsia="仿宋_GB2312" w:cs="Wingdings"/>
          <w:sz w:val="32"/>
          <w:szCs w:val="32"/>
        </w:rPr>
        <w:t>年度决算支出持平</w:t>
      </w:r>
      <w:r>
        <w:rPr>
          <w:rFonts w:hint="eastAsia" w:ascii="仿宋_GB2312" w:hAnsi="Times New Roman" w:eastAsia="仿宋_GB2312" w:cs="Wingdings"/>
          <w:sz w:val="32"/>
          <w:szCs w:val="32"/>
          <w:lang w:eastAsia="zh-CN"/>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38.28</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38.28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与预算持平</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val="en-US" w:eastAsia="zh-CN"/>
        </w:rPr>
        <w:t>增加26.08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增长213.77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更新购置公务用车2辆</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23.20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23.20</w:t>
      </w:r>
      <w:r>
        <w:rPr>
          <w:rFonts w:hint="eastAsia" w:ascii="仿宋_GB2312" w:hAnsi="Times New Roman" w:eastAsia="仿宋_GB2312" w:cs="DengXian-Regular"/>
          <w:sz w:val="32"/>
          <w:szCs w:val="32"/>
        </w:rPr>
        <w:t>万元。公务用车购置费支出</w:t>
      </w:r>
      <w:r>
        <w:rPr>
          <w:rFonts w:hint="eastAsia" w:ascii="仿宋_GB2312" w:hAnsi="Times New Roman" w:eastAsia="仿宋_GB2312" w:cs="DengXian-Regular"/>
          <w:sz w:val="32"/>
          <w:szCs w:val="32"/>
          <w:lang w:val="en-US" w:eastAsia="zh-CN"/>
        </w:rPr>
        <w:t>与预算持平</w:t>
      </w:r>
      <w:r>
        <w:rPr>
          <w:rFonts w:hint="eastAsia" w:ascii="仿宋_GB2312" w:hAnsi="Times New Roman" w:eastAsia="仿宋_GB2312" w:cs="DengXian-Regular"/>
          <w:sz w:val="32"/>
          <w:szCs w:val="32"/>
        </w:rPr>
        <w:t>，完成预算的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更新购置公务用车2辆</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23.20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更新购置公务用车2辆</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15.08</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辆。公车运行维护费支出</w:t>
      </w:r>
      <w:r>
        <w:rPr>
          <w:rFonts w:hint="eastAsia" w:ascii="仿宋_GB2312" w:hAnsi="Times New Roman" w:eastAsia="仿宋_GB2312" w:cs="DengXian-Regular"/>
          <w:sz w:val="32"/>
          <w:szCs w:val="32"/>
          <w:lang w:val="en-US" w:eastAsia="zh-CN"/>
        </w:rPr>
        <w:t>预算持平</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2.88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23.61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更新购置公务用车2辆，办理相关手续</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1.33</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0.69</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51.88</w:t>
      </w:r>
      <w:r>
        <w:rPr>
          <w:rFonts w:hint="eastAsia" w:ascii="仿宋_GB2312" w:hAnsi="Times New Roman" w:eastAsia="仿宋_GB2312" w:cs="DengXian-Regular"/>
          <w:sz w:val="32"/>
          <w:szCs w:val="32"/>
        </w:rPr>
        <w:t>%。公务接待费支出较预算减少</w:t>
      </w:r>
      <w:r>
        <w:rPr>
          <w:rFonts w:hint="eastAsia" w:ascii="仿宋_GB2312" w:hAnsi="Times New Roman" w:eastAsia="仿宋_GB2312" w:cs="DengXian-Regular"/>
          <w:sz w:val="32"/>
          <w:szCs w:val="32"/>
          <w:lang w:val="en-US" w:eastAsia="zh-CN"/>
        </w:rPr>
        <w:t>0.64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48.12</w:t>
      </w:r>
      <w:r>
        <w:rPr>
          <w:rFonts w:hint="eastAsia" w:ascii="仿宋_GB2312" w:hAnsi="Times New Roman" w:eastAsia="仿宋_GB2312" w:cs="DengXian-Regular"/>
          <w:sz w:val="32"/>
          <w:szCs w:val="32"/>
        </w:rPr>
        <w:t>%,主要是主要是</w:t>
      </w:r>
      <w:r>
        <w:rPr>
          <w:rFonts w:hint="eastAsia" w:ascii="仿宋_GB2312" w:hAnsi="Times New Roman" w:eastAsia="仿宋_GB2312" w:cs="DengXian-Regular"/>
          <w:sz w:val="32"/>
          <w:szCs w:val="32"/>
          <w:lang w:eastAsia="zh-CN"/>
        </w:rPr>
        <w:t>公务接待活动减少</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0.47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40.52</w:t>
      </w:r>
      <w:r>
        <w:rPr>
          <w:rFonts w:hint="eastAsia" w:ascii="仿宋_GB2312" w:hAnsi="Times New Roman" w:eastAsia="仿宋_GB2312" w:cs="DengXian-Regular"/>
          <w:sz w:val="32"/>
          <w:szCs w:val="32"/>
        </w:rPr>
        <w:t>%,主要是主要是</w:t>
      </w:r>
      <w:r>
        <w:rPr>
          <w:rFonts w:hint="eastAsia" w:ascii="仿宋_GB2312" w:hAnsi="Times New Roman" w:eastAsia="仿宋_GB2312" w:cs="DengXian-Regular"/>
          <w:sz w:val="32"/>
          <w:szCs w:val="32"/>
          <w:lang w:eastAsia="zh-CN"/>
        </w:rPr>
        <w:t>公务接待活动减少</w:t>
      </w:r>
      <w:r>
        <w:rPr>
          <w:rFonts w:hint="eastAsia" w:ascii="仿宋_GB2312" w:hAnsi="Times New Roman" w:eastAsia="仿宋_GB2312" w:cs="DengXian-Regular"/>
          <w:sz w:val="32"/>
          <w:szCs w:val="32"/>
        </w:rPr>
        <w:t>。本年度共发生公务接待X批次、X人次。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331.45</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86.52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35.32</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32"/>
          <w:szCs w:val="32"/>
          <w:lang w:val="en-US" w:eastAsia="zh-CN"/>
        </w:rPr>
        <w:t>2022年度部分科目进行调整，由人员经费转入机关运行费</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784.42</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52.1</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418.57</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313.75</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辆，比上年</w:t>
      </w:r>
      <w:r>
        <w:rPr>
          <w:rFonts w:hint="eastAsia" w:ascii="仿宋_GB2312" w:hAnsi="Times New Roman" w:eastAsia="仿宋_GB2312" w:cs="DengXian-Regular"/>
          <w:sz w:val="32"/>
          <w:szCs w:val="32"/>
          <w:lang w:val="en-US" w:eastAsia="zh-CN"/>
        </w:rPr>
        <w:t>增减无变化</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color w:val="000000" w:themeColor="text1"/>
          <w:sz w:val="32"/>
          <w:szCs w:val="40"/>
          <w14:textFill>
            <w14:solidFill>
              <w14:schemeClr w14:val="tx1"/>
            </w14:solidFill>
          </w14:textFill>
        </w:rPr>
      </w:pPr>
      <w:r>
        <w:rPr>
          <w:rFonts w:hint="eastAsia" w:ascii="黑体" w:hAnsi="Times New Roman" w:eastAsia="黑体" w:cs="Times New Roman"/>
          <w:color w:val="000000" w:themeColor="text1"/>
          <w:sz w:val="32"/>
          <w:szCs w:val="40"/>
          <w14:textFill>
            <w14:solidFill>
              <w14:schemeClr w14:val="tx1"/>
            </w14:solidFill>
          </w14:textFill>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4718.32</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eastAsia="zh-CN"/>
        </w:rPr>
        <w:t>土地储备资金</w:t>
      </w:r>
      <w:r>
        <w:rPr>
          <w:rFonts w:hint="eastAsia" w:ascii="仿宋_GB2312" w:hAnsi="仿宋_GB2312" w:eastAsia="仿宋_GB2312" w:cs="仿宋_GB2312"/>
          <w:sz w:val="32"/>
          <w:szCs w:val="32"/>
        </w:rPr>
        <w:t>、城乡建设用地增减挂钩结余指标</w:t>
      </w:r>
      <w:r>
        <w:rPr>
          <w:rFonts w:hint="eastAsia" w:ascii="仿宋_GB2312" w:hAnsi="仿宋_GB2312" w:eastAsia="仿宋_GB2312" w:cs="仿宋_GB2312"/>
          <w:sz w:val="32"/>
          <w:szCs w:val="32"/>
          <w:lang w:val="en-US" w:eastAsia="zh-CN"/>
        </w:rPr>
        <w:t>和占补平衡</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20586.54</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林业有害生物防治</w:t>
      </w:r>
      <w:r>
        <w:rPr>
          <w:rFonts w:hint="eastAsia" w:ascii="仿宋_GB2312" w:hAnsi="仿宋_GB2312" w:eastAsia="仿宋_GB2312" w:cs="仿宋_GB2312"/>
          <w:sz w:val="32"/>
          <w:szCs w:val="32"/>
        </w:rPr>
        <w:t>”一级项目开展了重点评价，涉及一般公共预算支出</w:t>
      </w:r>
      <w:r>
        <w:rPr>
          <w:rFonts w:hint="eastAsia" w:ascii="仿宋_GB2312" w:hAnsi="仿宋_GB2312" w:eastAsia="仿宋_GB2312" w:cs="仿宋_GB2312"/>
          <w:sz w:val="32"/>
          <w:szCs w:val="32"/>
          <w:lang w:val="en-US" w:eastAsia="zh-CN"/>
        </w:rPr>
        <w:t>120.85</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w:t>
      </w:r>
      <w:r>
        <w:rPr>
          <w:rFonts w:hint="eastAsia" w:ascii="仿宋_GB2312" w:hAnsi="仿宋_GB2312" w:eastAsia="仿宋_GB2312" w:cs="仿宋_GB2312"/>
          <w:sz w:val="32"/>
          <w:szCs w:val="32"/>
          <w:lang w:val="en-US" w:eastAsia="zh-CN"/>
        </w:rPr>
        <w:t>林业有害生物防治</w:t>
      </w:r>
      <w:r>
        <w:rPr>
          <w:rFonts w:hint="eastAsia" w:ascii="仿宋_GB2312" w:hAnsi="仿宋_GB2312" w:eastAsia="仿宋_GB2312" w:cs="仿宋_GB2312"/>
          <w:sz w:val="32"/>
          <w:szCs w:val="32"/>
        </w:rPr>
        <w:t>”项目委托“第三方机构开展绩效评价。从评价情况来看从评价情况来看从评价情况来看，</w:t>
      </w:r>
      <w:r>
        <w:rPr>
          <w:rFonts w:hint="eastAsia" w:ascii="仿宋_GB2312" w:hAnsi="仿宋_GB2312" w:eastAsia="仿宋_GB2312" w:cs="仿宋_GB2312"/>
          <w:sz w:val="32"/>
          <w:szCs w:val="32"/>
          <w:lang w:val="en-US" w:eastAsia="zh-CN"/>
        </w:rPr>
        <w:t>财政资金预算配置合理合规，预算执行严格有序，预算管理规范可控，预算效益合乎预期。</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val="en-US" w:eastAsia="zh-CN"/>
        </w:rPr>
        <w:t>林业有害生物防治</w:t>
      </w:r>
      <w:r>
        <w:rPr>
          <w:rFonts w:hint="eastAsia" w:ascii="仿宋_GB2312" w:hAnsi="仿宋_GB2312" w:eastAsia="仿宋_GB2312" w:cs="仿宋_GB2312"/>
          <w:sz w:val="32"/>
          <w:szCs w:val="32"/>
        </w:rPr>
        <w:t>项目绩效自评结果。</w:t>
      </w:r>
    </w:p>
    <w:p>
      <w:pPr>
        <w:rPr>
          <w:rFonts w:hint="default" w:ascii="仿宋" w:hAnsi="仿宋" w:eastAsia="仿宋" w:cs="宋体"/>
          <w:kern w:val="0"/>
          <w:sz w:val="32"/>
          <w:szCs w:val="32"/>
          <w:lang w:val="en-US" w:eastAsia="zh-CN"/>
        </w:rPr>
      </w:pPr>
      <w:r>
        <w:rPr>
          <w:rFonts w:hint="eastAsia" w:ascii="仿宋_GB2312" w:hAnsi="仿宋_GB2312" w:eastAsia="仿宋_GB2312" w:cs="仿宋_GB2312"/>
          <w:sz w:val="32"/>
          <w:szCs w:val="32"/>
          <w:lang w:val="en-US" w:eastAsia="zh-CN"/>
        </w:rPr>
        <w:t>林业有害生物防治</w:t>
      </w:r>
      <w:r>
        <w:rPr>
          <w:rFonts w:hint="eastAsia" w:ascii="仿宋_GB2312" w:hAnsi="仿宋_GB2312" w:eastAsia="仿宋_GB2312" w:cs="仿宋_GB2312"/>
          <w:sz w:val="32"/>
          <w:szCs w:val="32"/>
        </w:rPr>
        <w:t>项目自评综述：根据年初设定的绩效目标，</w:t>
      </w:r>
      <w:r>
        <w:rPr>
          <w:rFonts w:hint="eastAsia" w:ascii="仿宋" w:hAnsi="仿宋" w:eastAsia="仿宋" w:cs="宋体"/>
          <w:color w:val="000000"/>
          <w:kern w:val="0"/>
          <w:sz w:val="32"/>
          <w:szCs w:val="32"/>
        </w:rPr>
        <w:t>20</w:t>
      </w:r>
      <w:r>
        <w:rPr>
          <w:rFonts w:hint="eastAsia" w:ascii="仿宋" w:hAnsi="仿宋" w:eastAsia="仿宋" w:cs="宋体"/>
          <w:color w:val="000000"/>
          <w:kern w:val="0"/>
          <w:sz w:val="32"/>
          <w:szCs w:val="32"/>
          <w:lang w:val="en-US" w:eastAsia="zh-CN"/>
        </w:rPr>
        <w:t>22</w:t>
      </w:r>
      <w:r>
        <w:rPr>
          <w:rFonts w:hint="eastAsia" w:ascii="仿宋" w:hAnsi="仿宋" w:eastAsia="仿宋" w:cs="宋体"/>
          <w:color w:val="000000"/>
          <w:kern w:val="0"/>
          <w:sz w:val="32"/>
          <w:szCs w:val="32"/>
        </w:rPr>
        <w:t>年大厂县林业有害生物防治项目绩效评价得分</w:t>
      </w:r>
      <w:r>
        <w:rPr>
          <w:rFonts w:hint="eastAsia" w:ascii="仿宋" w:hAnsi="仿宋" w:eastAsia="仿宋" w:cs="宋体"/>
          <w:color w:val="auto"/>
          <w:kern w:val="0"/>
          <w:sz w:val="32"/>
          <w:szCs w:val="32"/>
        </w:rPr>
        <w:t>为</w:t>
      </w:r>
      <w:r>
        <w:rPr>
          <w:rFonts w:hint="eastAsia" w:ascii="仿宋" w:hAnsi="仿宋" w:eastAsia="仿宋" w:cs="宋体"/>
          <w:color w:val="auto"/>
          <w:kern w:val="0"/>
          <w:sz w:val="32"/>
          <w:szCs w:val="32"/>
          <w:lang w:val="en-US" w:eastAsia="zh-CN"/>
        </w:rPr>
        <w:t>99.3</w:t>
      </w:r>
      <w:r>
        <w:rPr>
          <w:rFonts w:hint="eastAsia" w:ascii="仿宋" w:hAnsi="仿宋" w:eastAsia="仿宋" w:cs="宋体"/>
          <w:color w:val="auto"/>
          <w:kern w:val="0"/>
          <w:sz w:val="32"/>
          <w:szCs w:val="32"/>
        </w:rPr>
        <w:t>分</w:t>
      </w:r>
      <w:r>
        <w:rPr>
          <w:rFonts w:hint="eastAsia" w:ascii="仿宋_GB2312" w:hAnsi="仿宋_GB2312" w:eastAsia="仿宋_GB2312" w:cs="仿宋_GB2312"/>
          <w:sz w:val="32"/>
          <w:szCs w:val="32"/>
        </w:rPr>
        <w:t>（绩效自评表附后）。全年预算数为</w:t>
      </w:r>
      <w:r>
        <w:rPr>
          <w:rFonts w:hint="eastAsia" w:ascii="仿宋_GB2312" w:hAnsi="仿宋_GB2312" w:eastAsia="仿宋_GB2312" w:cs="仿宋_GB2312"/>
          <w:sz w:val="32"/>
          <w:szCs w:val="32"/>
          <w:lang w:val="en-US" w:eastAsia="zh-CN"/>
        </w:rPr>
        <w:t>120.85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120.85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w:t>
      </w:r>
      <w:r>
        <w:rPr>
          <w:rFonts w:hint="eastAsia" w:ascii="仿宋" w:hAnsi="仿宋" w:eastAsia="仿宋" w:cs="宋体"/>
          <w:kern w:val="0"/>
          <w:sz w:val="32"/>
          <w:szCs w:val="32"/>
        </w:rPr>
        <w:t>飞机防治作业1</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万亩次；</w:t>
      </w:r>
      <w:r>
        <w:rPr>
          <w:rFonts w:hint="eastAsia" w:ascii="仿宋" w:hAnsi="仿宋" w:eastAsia="仿宋" w:cs="宋体"/>
          <w:kern w:val="0"/>
          <w:sz w:val="32"/>
          <w:szCs w:val="32"/>
          <w:lang w:val="en-US" w:eastAsia="zh-CN"/>
        </w:rPr>
        <w:t>验收报告成果1份；</w:t>
      </w:r>
      <w:r>
        <w:rPr>
          <w:rFonts w:hint="eastAsia" w:ascii="仿宋" w:hAnsi="仿宋" w:eastAsia="仿宋"/>
          <w:sz w:val="32"/>
          <w:szCs w:val="32"/>
        </w:rPr>
        <w:t>成灾率</w:t>
      </w:r>
      <w:r>
        <w:rPr>
          <w:rFonts w:hint="eastAsia" w:ascii="仿宋" w:hAnsi="仿宋" w:eastAsia="仿宋"/>
          <w:sz w:val="32"/>
          <w:szCs w:val="32"/>
          <w:lang w:eastAsia="zh-CN"/>
        </w:rPr>
        <w:t>控制在</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eastAsia="zh-CN"/>
        </w:rPr>
        <w:t>叶片</w:t>
      </w:r>
      <w:r>
        <w:rPr>
          <w:rFonts w:hint="eastAsia" w:ascii="仿宋" w:hAnsi="仿宋" w:eastAsia="仿宋"/>
          <w:sz w:val="32"/>
          <w:szCs w:val="32"/>
          <w:lang w:val="en-US" w:eastAsia="zh-CN"/>
        </w:rPr>
        <w:t>保存</w:t>
      </w:r>
      <w:r>
        <w:rPr>
          <w:rFonts w:hint="eastAsia" w:ascii="仿宋" w:hAnsi="仿宋" w:eastAsia="仿宋"/>
          <w:sz w:val="32"/>
          <w:szCs w:val="32"/>
        </w:rPr>
        <w:t>率达到</w:t>
      </w:r>
      <w:r>
        <w:rPr>
          <w:rFonts w:hint="eastAsia" w:ascii="仿宋" w:hAnsi="仿宋" w:eastAsia="仿宋"/>
          <w:sz w:val="32"/>
          <w:szCs w:val="32"/>
          <w:lang w:val="en-US" w:eastAsia="zh-CN"/>
        </w:rPr>
        <w:t>95</w:t>
      </w:r>
      <w:r>
        <w:rPr>
          <w:rFonts w:hint="eastAsia" w:ascii="仿宋" w:hAnsi="仿宋" w:eastAsia="仿宋"/>
          <w:sz w:val="32"/>
          <w:szCs w:val="32"/>
        </w:rPr>
        <w:t>%</w:t>
      </w:r>
      <w:r>
        <w:rPr>
          <w:rFonts w:hint="eastAsia" w:ascii="仿宋" w:hAnsi="仿宋" w:eastAsia="仿宋"/>
          <w:sz w:val="32"/>
          <w:szCs w:val="32"/>
          <w:lang w:val="en-US" w:eastAsia="zh-CN"/>
        </w:rPr>
        <w:t>以上</w:t>
      </w:r>
      <w:r>
        <w:rPr>
          <w:rFonts w:hint="eastAsia" w:ascii="仿宋" w:hAnsi="仿宋" w:eastAsia="仿宋" w:cs="宋体"/>
          <w:kern w:val="0"/>
          <w:sz w:val="32"/>
          <w:szCs w:val="32"/>
        </w:rPr>
        <w:t>。</w:t>
      </w:r>
      <w:r>
        <w:rPr>
          <w:rFonts w:hint="eastAsia" w:ascii="仿宋" w:hAnsi="仿宋" w:eastAsia="仿宋"/>
          <w:color w:val="000000"/>
          <w:sz w:val="32"/>
          <w:szCs w:val="32"/>
        </w:rPr>
        <w:t>圆满的完成了20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年度的林业有害生物防治任务和目标</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未发现问题。</w:t>
      </w:r>
    </w:p>
    <w:tbl>
      <w:tblPr>
        <w:tblStyle w:val="8"/>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78"/>
        <w:gridCol w:w="917"/>
        <w:gridCol w:w="1327"/>
        <w:gridCol w:w="864"/>
        <w:gridCol w:w="816"/>
        <w:gridCol w:w="109"/>
        <w:gridCol w:w="539"/>
        <w:gridCol w:w="231"/>
        <w:gridCol w:w="381"/>
        <w:gridCol w:w="515"/>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林业有害生物监测防治项目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大厂回族自治县自然资源和规划局</w:t>
            </w:r>
          </w:p>
        </w:tc>
        <w:tc>
          <w:tcPr>
            <w:tcW w:w="9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6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3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130</w:t>
            </w:r>
          </w:p>
        </w:tc>
        <w:tc>
          <w:tcPr>
            <w:tcW w:w="86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130</w:t>
            </w:r>
          </w:p>
        </w:tc>
        <w:tc>
          <w:tcPr>
            <w:tcW w:w="9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120.85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92.96%</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3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6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3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6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3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6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1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6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01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olor w:val="000000"/>
                <w:kern w:val="0"/>
                <w:sz w:val="21"/>
                <w:szCs w:val="16"/>
                <w:lang w:val="en-US" w:eastAsia="zh-CN"/>
              </w:rPr>
              <w:t>2</w:t>
            </w:r>
            <w:r>
              <w:rPr>
                <w:rFonts w:hint="eastAsia" w:eastAsia="仿宋_GB2312"/>
                <w:color w:val="000000"/>
                <w:kern w:val="0"/>
                <w:sz w:val="21"/>
                <w:szCs w:val="16"/>
              </w:rPr>
              <w:t>0</w:t>
            </w:r>
            <w:r>
              <w:rPr>
                <w:rFonts w:hint="eastAsia" w:eastAsia="仿宋_GB2312"/>
                <w:color w:val="000000"/>
                <w:kern w:val="0"/>
                <w:sz w:val="21"/>
                <w:szCs w:val="16"/>
                <w:lang w:val="en-US" w:eastAsia="zh-CN"/>
              </w:rPr>
              <w:t>22</w:t>
            </w:r>
            <w:r>
              <w:rPr>
                <w:rFonts w:hint="eastAsia" w:eastAsia="仿宋_GB2312"/>
                <w:color w:val="000000"/>
                <w:kern w:val="0"/>
                <w:sz w:val="21"/>
                <w:szCs w:val="16"/>
              </w:rPr>
              <w:t>年</w:t>
            </w:r>
            <w:r>
              <w:rPr>
                <w:rFonts w:hint="eastAsia" w:eastAsia="仿宋_GB2312"/>
                <w:color w:val="000000"/>
                <w:kern w:val="0"/>
                <w:sz w:val="21"/>
                <w:szCs w:val="16"/>
                <w:lang w:val="en-US" w:eastAsia="zh-CN"/>
              </w:rPr>
              <w:t>2</w:t>
            </w:r>
            <w:r>
              <w:rPr>
                <w:rFonts w:hint="eastAsia" w:eastAsia="仿宋_GB2312"/>
                <w:color w:val="000000"/>
                <w:kern w:val="0"/>
                <w:sz w:val="21"/>
                <w:szCs w:val="16"/>
              </w:rPr>
              <w:t>月谋划该项目，按照财政部门预算工作进度</w:t>
            </w:r>
            <w:r>
              <w:rPr>
                <w:rFonts w:hint="eastAsia" w:eastAsia="仿宋_GB2312"/>
                <w:color w:val="000000"/>
                <w:kern w:val="0"/>
                <w:sz w:val="21"/>
                <w:szCs w:val="16"/>
                <w:lang w:eastAsia="zh-CN"/>
              </w:rPr>
              <w:t>进行招投标工作</w:t>
            </w:r>
            <w:r>
              <w:rPr>
                <w:rFonts w:hint="eastAsia" w:eastAsia="仿宋_GB2312"/>
                <w:color w:val="000000"/>
                <w:kern w:val="0"/>
                <w:sz w:val="21"/>
                <w:szCs w:val="16"/>
              </w:rPr>
              <w:t>。</w:t>
            </w:r>
            <w:r>
              <w:rPr>
                <w:rFonts w:hint="eastAsia" w:eastAsia="仿宋_GB2312"/>
                <w:color w:val="000000"/>
                <w:kern w:val="0"/>
                <w:sz w:val="21"/>
                <w:szCs w:val="16"/>
                <w:lang w:val="en-US" w:eastAsia="zh-CN"/>
              </w:rPr>
              <w:t>4</w:t>
            </w:r>
            <w:r>
              <w:rPr>
                <w:rFonts w:hint="eastAsia" w:eastAsia="仿宋_GB2312"/>
                <w:color w:val="000000"/>
                <w:kern w:val="0"/>
                <w:sz w:val="21"/>
                <w:szCs w:val="16"/>
              </w:rPr>
              <w:t>-10月为</w:t>
            </w:r>
            <w:r>
              <w:rPr>
                <w:rFonts w:hint="eastAsia" w:eastAsia="仿宋_GB2312"/>
                <w:color w:val="000000"/>
                <w:kern w:val="0"/>
                <w:sz w:val="21"/>
                <w:szCs w:val="16"/>
                <w:lang w:eastAsia="zh-CN"/>
              </w:rPr>
              <w:t>实施</w:t>
            </w:r>
            <w:r>
              <w:rPr>
                <w:rFonts w:hint="eastAsia" w:eastAsia="仿宋_GB2312"/>
                <w:color w:val="000000"/>
                <w:kern w:val="0"/>
                <w:sz w:val="21"/>
                <w:szCs w:val="16"/>
              </w:rPr>
              <w:t>防治期，通过</w:t>
            </w:r>
            <w:r>
              <w:rPr>
                <w:rFonts w:hint="eastAsia" w:eastAsia="仿宋_GB2312"/>
                <w:color w:val="000000"/>
                <w:kern w:val="0"/>
                <w:sz w:val="21"/>
                <w:szCs w:val="16"/>
                <w:lang w:eastAsia="zh-CN"/>
              </w:rPr>
              <w:t>该项目实施</w:t>
            </w:r>
            <w:r>
              <w:rPr>
                <w:rFonts w:hint="eastAsia" w:eastAsia="仿宋_GB2312"/>
                <w:color w:val="000000"/>
                <w:kern w:val="0"/>
                <w:sz w:val="21"/>
                <w:szCs w:val="16"/>
              </w:rPr>
              <w:t>，有效遏制林业有害生物的大面积发生，维护环京和县域生态安全。</w:t>
            </w:r>
          </w:p>
        </w:tc>
        <w:tc>
          <w:tcPr>
            <w:tcW w:w="326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olor w:val="000000"/>
                <w:kern w:val="0"/>
                <w:sz w:val="20"/>
                <w:szCs w:val="15"/>
                <w:lang w:eastAsia="zh-CN"/>
              </w:rPr>
              <w:t>飞防面积15万亩，成灾率有效控制在4‰以下，无公害防治率达到85%以上，监测覆盖率100%，叶片保存率90%以上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27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22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86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64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6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27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22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防治</w:t>
            </w:r>
            <w:r>
              <w:rPr>
                <w:rFonts w:eastAsia="仿宋_GB2312"/>
                <w:kern w:val="0"/>
                <w:sz w:val="24"/>
              </w:rPr>
              <w:t>面积</w:t>
            </w:r>
            <w:r>
              <w:rPr>
                <w:rFonts w:hint="eastAsia" w:eastAsia="仿宋_GB2312"/>
                <w:kern w:val="0"/>
                <w:sz w:val="24"/>
                <w:lang w:eastAsia="zh-CN"/>
              </w:rPr>
              <w:t>（亩）</w:t>
            </w:r>
          </w:p>
        </w:tc>
        <w:tc>
          <w:tcPr>
            <w:tcW w:w="864" w:type="dxa"/>
            <w:tcBorders>
              <w:top w:val="nil"/>
              <w:left w:val="nil"/>
              <w:bottom w:val="single" w:color="auto" w:sz="4" w:space="0"/>
              <w:right w:val="single" w:color="auto" w:sz="4" w:space="0"/>
            </w:tcBorders>
            <w:noWrap w:val="0"/>
            <w:vAlign w:val="center"/>
          </w:tcPr>
          <w:p>
            <w:pPr>
              <w:widowControl/>
              <w:tabs>
                <w:tab w:val="left" w:pos="308"/>
                <w:tab w:val="center" w:pos="565"/>
              </w:tabs>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8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15.9</w:t>
            </w:r>
          </w:p>
        </w:tc>
        <w:tc>
          <w:tcPr>
            <w:tcW w:w="64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6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1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7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22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病虫害</w:t>
            </w:r>
            <w:r>
              <w:rPr>
                <w:rFonts w:eastAsia="仿宋_GB2312"/>
                <w:kern w:val="0"/>
                <w:sz w:val="24"/>
              </w:rPr>
              <w:t>防治率</w:t>
            </w:r>
            <w:r>
              <w:rPr>
                <w:rFonts w:hint="eastAsia" w:eastAsia="仿宋_GB2312"/>
                <w:kern w:val="0"/>
                <w:sz w:val="24"/>
                <w:lang w:eastAsia="zh-CN"/>
              </w:rPr>
              <w:t>（</w:t>
            </w:r>
            <w:r>
              <w:rPr>
                <w:rFonts w:hint="eastAsia" w:eastAsia="仿宋_GB2312"/>
                <w:kern w:val="0"/>
                <w:sz w:val="24"/>
                <w:lang w:val="en-US" w:eastAsia="zh-CN"/>
              </w:rPr>
              <w:t>%</w:t>
            </w:r>
            <w:r>
              <w:rPr>
                <w:rFonts w:hint="eastAsia" w:eastAsia="仿宋_GB2312"/>
                <w:kern w:val="0"/>
                <w:sz w:val="24"/>
                <w:lang w:eastAsia="zh-CN"/>
              </w:rPr>
              <w:t>）</w:t>
            </w:r>
          </w:p>
        </w:tc>
        <w:tc>
          <w:tcPr>
            <w:tcW w:w="86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rPr>
              <w:t>≥</w:t>
            </w:r>
            <w:r>
              <w:rPr>
                <w:rFonts w:hint="eastAsia" w:eastAsia="仿宋_GB2312"/>
                <w:kern w:val="0"/>
                <w:sz w:val="24"/>
                <w:lang w:val="en-US" w:eastAsia="zh-CN"/>
              </w:rPr>
              <w:t>90</w:t>
            </w:r>
          </w:p>
        </w:tc>
        <w:tc>
          <w:tcPr>
            <w:tcW w:w="8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w:t>
            </w:r>
          </w:p>
        </w:tc>
        <w:tc>
          <w:tcPr>
            <w:tcW w:w="64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6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1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7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22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防治</w:t>
            </w:r>
            <w:r>
              <w:rPr>
                <w:rFonts w:eastAsia="仿宋_GB2312"/>
                <w:kern w:val="0"/>
                <w:sz w:val="24"/>
              </w:rPr>
              <w:t>完成时间</w:t>
            </w:r>
            <w:r>
              <w:rPr>
                <w:rFonts w:hint="eastAsia" w:eastAsia="仿宋_GB2312"/>
                <w:kern w:val="0"/>
                <w:sz w:val="24"/>
                <w:lang w:val="en-US" w:eastAsia="zh-CN"/>
              </w:rPr>
              <w:t>(月份）</w:t>
            </w:r>
          </w:p>
        </w:tc>
        <w:tc>
          <w:tcPr>
            <w:tcW w:w="864" w:type="dxa"/>
            <w:tcBorders>
              <w:top w:val="single" w:color="auto" w:sz="4" w:space="0"/>
              <w:left w:val="nil"/>
              <w:bottom w:val="single" w:color="auto" w:sz="4" w:space="0"/>
              <w:right w:val="single" w:color="auto" w:sz="4" w:space="0"/>
            </w:tcBorders>
            <w:noWrap w:val="0"/>
            <w:vAlign w:val="center"/>
          </w:tcPr>
          <w:p>
            <w:pPr>
              <w:widowControl/>
              <w:tabs>
                <w:tab w:val="left" w:pos="308"/>
                <w:tab w:val="center" w:pos="565"/>
              </w:tabs>
              <w:spacing w:line="240" w:lineRule="exact"/>
              <w:jc w:val="left"/>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ab/>
            </w:r>
            <w:r>
              <w:rPr>
                <w:rFonts w:hint="eastAsia" w:eastAsia="仿宋_GB2312"/>
                <w:color w:val="auto"/>
                <w:kern w:val="0"/>
                <w:sz w:val="24"/>
              </w:rPr>
              <w:t>≤</w:t>
            </w:r>
            <w:r>
              <w:rPr>
                <w:rFonts w:hint="eastAsia" w:eastAsia="仿宋_GB2312"/>
                <w:kern w:val="0"/>
                <w:sz w:val="24"/>
                <w:lang w:val="en-US" w:eastAsia="zh-CN"/>
              </w:rPr>
              <w:t>12</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64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6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1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7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22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eastAsia="仿宋_GB2312"/>
                <w:kern w:val="0"/>
                <w:sz w:val="24"/>
              </w:rPr>
              <w:t>总成本</w:t>
            </w:r>
            <w:r>
              <w:rPr>
                <w:rFonts w:hint="eastAsia" w:eastAsia="仿宋_GB2312"/>
                <w:kern w:val="0"/>
                <w:sz w:val="24"/>
                <w:lang w:val="en-US" w:eastAsia="zh-CN"/>
              </w:rPr>
              <w:t>(万元）</w:t>
            </w:r>
          </w:p>
        </w:tc>
        <w:tc>
          <w:tcPr>
            <w:tcW w:w="86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24"/>
                <w:lang w:val="en-US" w:eastAsia="zh-CN" w:bidi="ar-SA"/>
              </w:rPr>
            </w:pPr>
            <w:r>
              <w:rPr>
                <w:rFonts w:hint="eastAsia" w:eastAsia="仿宋_GB2312"/>
                <w:color w:val="auto"/>
                <w:kern w:val="0"/>
                <w:sz w:val="24"/>
              </w:rPr>
              <w:t>≤</w:t>
            </w:r>
            <w:r>
              <w:rPr>
                <w:rFonts w:hint="eastAsia" w:eastAsia="仿宋_GB2312"/>
                <w:color w:val="auto"/>
                <w:kern w:val="0"/>
                <w:sz w:val="24"/>
                <w:lang w:val="en-US" w:eastAsia="zh-CN"/>
              </w:rPr>
              <w:t>130</w:t>
            </w:r>
          </w:p>
        </w:tc>
        <w:tc>
          <w:tcPr>
            <w:tcW w:w="8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120.85</w:t>
            </w:r>
          </w:p>
        </w:tc>
        <w:tc>
          <w:tcPr>
            <w:tcW w:w="64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6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1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27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22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86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7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2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4"/>
                <w:lang w:val="en-US" w:eastAsia="zh-CN" w:bidi="ar-SA"/>
              </w:rPr>
            </w:pPr>
            <w:r>
              <w:rPr>
                <w:rFonts w:hint="eastAsia" w:eastAsia="仿宋_GB2312"/>
                <w:color w:val="000000"/>
                <w:kern w:val="0"/>
                <w:sz w:val="24"/>
              </w:rPr>
              <w:t>成灾率（‰）</w:t>
            </w:r>
          </w:p>
        </w:tc>
        <w:tc>
          <w:tcPr>
            <w:tcW w:w="86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eastAsia="仿宋_GB2312"/>
                <w:kern w:val="0"/>
                <w:sz w:val="24"/>
              </w:rPr>
              <w:t>≤4‰</w:t>
            </w:r>
          </w:p>
        </w:tc>
        <w:tc>
          <w:tcPr>
            <w:tcW w:w="8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w:t>
            </w:r>
          </w:p>
        </w:tc>
        <w:tc>
          <w:tcPr>
            <w:tcW w:w="64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6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1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7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22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hint="eastAsia" w:eastAsia="仿宋_GB2312"/>
                <w:color w:val="000000"/>
                <w:kern w:val="0"/>
                <w:sz w:val="24"/>
                <w:lang w:eastAsia="zh-CN"/>
              </w:rPr>
              <w:t>森林资源保存</w:t>
            </w:r>
            <w:r>
              <w:rPr>
                <w:rFonts w:hint="eastAsia" w:eastAsia="仿宋_GB2312"/>
                <w:color w:val="000000"/>
                <w:kern w:val="0"/>
                <w:sz w:val="24"/>
              </w:rPr>
              <w:t>率（%）</w:t>
            </w:r>
          </w:p>
        </w:tc>
        <w:tc>
          <w:tcPr>
            <w:tcW w:w="86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≥90</w:t>
            </w:r>
          </w:p>
        </w:tc>
        <w:tc>
          <w:tcPr>
            <w:tcW w:w="8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95</w:t>
            </w:r>
          </w:p>
        </w:tc>
        <w:tc>
          <w:tcPr>
            <w:tcW w:w="64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6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1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22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eastAsia="zh-CN"/>
              </w:rPr>
            </w:pPr>
            <w:r>
              <w:rPr>
                <w:rFonts w:hint="eastAsia" w:eastAsia="仿宋_GB2312"/>
                <w:color w:val="000000"/>
                <w:kern w:val="0"/>
                <w:sz w:val="24"/>
              </w:rPr>
              <w:t>防治效果持续时间</w:t>
            </w:r>
            <w:r>
              <w:rPr>
                <w:rFonts w:hint="eastAsia" w:eastAsia="仿宋_GB2312"/>
                <w:color w:val="000000"/>
                <w:kern w:val="0"/>
                <w:sz w:val="24"/>
                <w:lang w:eastAsia="zh-CN"/>
              </w:rPr>
              <w:t>（年）</w:t>
            </w:r>
          </w:p>
        </w:tc>
        <w:tc>
          <w:tcPr>
            <w:tcW w:w="86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64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6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27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2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4"/>
                <w:lang w:val="en-US" w:eastAsia="zh-CN" w:bidi="ar-SA"/>
              </w:rPr>
            </w:pPr>
            <w:r>
              <w:rPr>
                <w:rFonts w:hint="eastAsia" w:eastAsia="仿宋_GB2312"/>
                <w:color w:val="000000"/>
                <w:kern w:val="0"/>
                <w:sz w:val="24"/>
                <w:lang w:eastAsia="zh-CN"/>
              </w:rPr>
              <w:t>群众满意度</w:t>
            </w:r>
            <w:r>
              <w:rPr>
                <w:rFonts w:hint="eastAsia" w:eastAsia="仿宋_GB2312"/>
                <w:color w:val="000000"/>
                <w:kern w:val="0"/>
                <w:sz w:val="24"/>
              </w:rPr>
              <w:t>（%）</w:t>
            </w:r>
          </w:p>
        </w:tc>
        <w:tc>
          <w:tcPr>
            <w:tcW w:w="86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eastAsia="仿宋_GB2312"/>
                <w:kern w:val="0"/>
                <w:sz w:val="24"/>
                <w:lang w:val="en-US" w:eastAsia="zh-CN"/>
              </w:rPr>
              <w:t>≥90</w:t>
            </w:r>
          </w:p>
        </w:tc>
        <w:tc>
          <w:tcPr>
            <w:tcW w:w="8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64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6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1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6414"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64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p>
        </w:tc>
        <w:tc>
          <w:tcPr>
            <w:tcW w:w="6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99.3</w:t>
            </w:r>
          </w:p>
        </w:tc>
        <w:tc>
          <w:tcPr>
            <w:tcW w:w="11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numPr>
          <w:ilvl w:val="0"/>
          <w:numId w:val="0"/>
        </w:num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ind w:left="420"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（三）部门评价项目绩效评价结果</w:t>
      </w:r>
    </w:p>
    <w:p>
      <w:pPr>
        <w:widowControl/>
        <w:numPr>
          <w:ilvl w:val="0"/>
          <w:numId w:val="0"/>
        </w:numPr>
        <w:ind w:firstLine="640" w:firstLineChars="200"/>
        <w:jc w:val="left"/>
        <w:rPr>
          <w:rFonts w:hint="default" w:eastAsia="仿宋_GB2312"/>
          <w:b w:val="0"/>
          <w:bCs w:val="0"/>
          <w:color w:val="000000"/>
          <w:kern w:val="0"/>
          <w:sz w:val="32"/>
          <w:szCs w:val="32"/>
          <w:lang w:val="en-US" w:eastAsia="zh-CN"/>
        </w:rPr>
      </w:pPr>
      <w:r>
        <w:rPr>
          <w:rFonts w:hint="eastAsia" w:eastAsia="仿宋_GB2312"/>
          <w:color w:val="000000"/>
          <w:kern w:val="0"/>
          <w:sz w:val="32"/>
          <w:szCs w:val="32"/>
          <w:lang w:val="en-US" w:eastAsia="zh-CN"/>
        </w:rPr>
        <w:t>大厂回族自治县自然资源和规划局大体上年初绩效目标设定清晰准确，绩效指标全面完整、科学合理，绩效标准恰当适宜、易于评价，在新的一年中，我局将在此基础上进一步优化绩效目标设定，合理规划制定绩效指标及绩效目标，进一步量化指标。大厂回族自治县自然资源和规划局2022年项目绩效自评为优，具体情况如下：</w:t>
      </w:r>
      <w:r>
        <w:rPr>
          <w:rFonts w:hint="eastAsia" w:eastAsia="仿宋_GB2312"/>
          <w:b w:val="0"/>
          <w:bCs w:val="0"/>
          <w:color w:val="000000"/>
          <w:kern w:val="0"/>
          <w:sz w:val="32"/>
          <w:szCs w:val="32"/>
          <w:lang w:val="en-US" w:eastAsia="zh-CN"/>
        </w:rPr>
        <w:t>评优率99.3%。</w:t>
      </w:r>
    </w:p>
    <w:p>
      <w:pPr>
        <w:pStyle w:val="2"/>
      </w:pPr>
    </w:p>
    <w:p>
      <w:pPr>
        <w:adjustRightInd w:val="0"/>
        <w:snapToGrid w:val="0"/>
        <w:spacing w:line="600" w:lineRule="exact"/>
        <w:ind w:firstLine="643" w:firstLineChars="200"/>
        <w:rPr>
          <w:rFonts w:ascii="仿宋_GB2312" w:eastAsia="仿宋_GB2312" w:cs="仿宋_GB2312"/>
          <w:bCs/>
          <w:sz w:val="32"/>
          <w:szCs w:val="32"/>
        </w:rPr>
      </w:pPr>
      <w:r>
        <w:rPr>
          <w:rFonts w:hint="eastAsia" w:ascii="楷体_GB2312" w:eastAsia="楷体_GB2312" w:cs="楷体_GB2312"/>
          <w:b/>
          <w:bCs/>
          <w:sz w:val="32"/>
          <w:szCs w:val="32"/>
        </w:rPr>
        <w:t>（四）</w:t>
      </w:r>
      <w:r>
        <w:rPr>
          <w:rFonts w:ascii="仿宋_GB2312" w:eastAsia="仿宋_GB2312" w:cs="仿宋_GB2312"/>
          <w:b/>
          <w:bCs/>
          <w:sz w:val="32"/>
          <w:szCs w:val="32"/>
        </w:rPr>
        <w:t>部门整体绩效自评结果。</w:t>
      </w:r>
      <w:r>
        <w:rPr>
          <w:rFonts w:hint="eastAsia" w:ascii="仿宋_GB2312" w:eastAsia="仿宋_GB2312" w:cs="仿宋_GB2312"/>
          <w:bCs/>
          <w:sz w:val="32"/>
          <w:szCs w:val="32"/>
        </w:rPr>
        <w:t>本部门对20</w:t>
      </w:r>
      <w:r>
        <w:rPr>
          <w:rFonts w:ascii="仿宋_GB2312" w:eastAsia="仿宋_GB2312" w:cs="仿宋_GB2312"/>
          <w:bCs/>
          <w:sz w:val="32"/>
          <w:szCs w:val="32"/>
        </w:rPr>
        <w:t>2</w:t>
      </w:r>
      <w:r>
        <w:rPr>
          <w:rFonts w:hint="eastAsia" w:ascii="仿宋_GB2312" w:eastAsia="仿宋_GB2312" w:cs="仿宋_GB2312"/>
          <w:bCs/>
          <w:sz w:val="32"/>
          <w:szCs w:val="32"/>
        </w:rPr>
        <w:t>2年度部门整体绩效进行自评价，自评得分</w:t>
      </w:r>
      <w:r>
        <w:rPr>
          <w:rFonts w:hint="eastAsia" w:ascii="仿宋_GB2312" w:eastAsia="仿宋_GB2312" w:cs="仿宋_GB2312"/>
          <w:bCs/>
          <w:sz w:val="32"/>
          <w:szCs w:val="32"/>
          <w:lang w:val="en-US" w:eastAsia="zh-CN"/>
        </w:rPr>
        <w:t>91.5</w:t>
      </w:r>
      <w:r>
        <w:rPr>
          <w:rFonts w:hint="eastAsia" w:ascii="仿宋_GB2312" w:eastAsia="仿宋_GB2312" w:cs="仿宋_GB2312"/>
          <w:bCs/>
          <w:sz w:val="32"/>
          <w:szCs w:val="32"/>
        </w:rPr>
        <w:t>分，评价等级为</w:t>
      </w:r>
      <w:r>
        <w:rPr>
          <w:rFonts w:hint="eastAsia" w:ascii="仿宋_GB2312" w:eastAsia="仿宋_GB2312" w:cs="仿宋_GB2312"/>
          <w:bCs/>
          <w:sz w:val="32"/>
          <w:szCs w:val="32"/>
          <w:lang w:val="en-US" w:eastAsia="zh-CN"/>
        </w:rPr>
        <w:t>优</w:t>
      </w:r>
      <w:r>
        <w:rPr>
          <w:rFonts w:hint="eastAsia" w:ascii="仿宋_GB2312" w:eastAsia="仿宋_GB2312" w:cs="仿宋_GB2312"/>
          <w:bCs/>
          <w:sz w:val="32"/>
          <w:szCs w:val="32"/>
        </w:rPr>
        <w:t>。</w:t>
      </w:r>
    </w:p>
    <w:p>
      <w:pPr>
        <w:widowControl/>
        <w:jc w:val="left"/>
        <w:rPr>
          <w:rFonts w:ascii="黑体" w:hAnsi="Calibri" w:eastAsia="黑体" w:cs="Times New Roman"/>
          <w:sz w:val="32"/>
          <w:szCs w:val="32"/>
        </w:rPr>
      </w:pPr>
      <w:r>
        <w:rPr>
          <w:rFonts w:ascii="黑体" w:hAnsi="Calibri" w:eastAsia="黑体" w:cs="Times New Roman"/>
          <w:sz w:val="32"/>
          <w:szCs w:val="32"/>
        </w:rPr>
        <w:br w:type="page"/>
      </w:r>
    </w:p>
    <w:p>
      <w:pPr>
        <w:adjustRightInd w:val="0"/>
        <w:snapToGrid w:val="0"/>
        <w:spacing w:line="580" w:lineRule="exact"/>
        <w:rPr>
          <w:rFonts w:hint="eastAsia" w:ascii="黑体" w:hAnsi="Calibri" w:eastAsia="黑体" w:cs="Times New Roman"/>
          <w:sz w:val="32"/>
          <w:szCs w:val="32"/>
        </w:rPr>
        <w:sectPr>
          <w:pgSz w:w="11906" w:h="16838"/>
          <w:pgMar w:top="2041" w:right="1531" w:bottom="2041" w:left="1531" w:header="851" w:footer="992" w:gutter="0"/>
          <w:cols w:space="425" w:num="1"/>
          <w:docGrid w:type="lines" w:linePitch="312" w:charSpace="0"/>
        </w:sectPr>
      </w:pP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部门（单位）整体绩效自评表</w:t>
      </w:r>
    </w:p>
    <w:p>
      <w:pPr>
        <w:jc w:val="center"/>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（2022年度）</w:t>
      </w:r>
    </w:p>
    <w:tbl>
      <w:tblPr>
        <w:tblStyle w:val="8"/>
        <w:tblW w:w="5000" w:type="pct"/>
        <w:tblInd w:w="0" w:type="dxa"/>
        <w:tblLayout w:type="fixed"/>
        <w:tblCellMar>
          <w:top w:w="0" w:type="dxa"/>
          <w:left w:w="108" w:type="dxa"/>
          <w:bottom w:w="0" w:type="dxa"/>
          <w:right w:w="108" w:type="dxa"/>
        </w:tblCellMar>
      </w:tblPr>
      <w:tblGrid>
        <w:gridCol w:w="513"/>
        <w:gridCol w:w="428"/>
        <w:gridCol w:w="67"/>
        <w:gridCol w:w="990"/>
        <w:gridCol w:w="864"/>
        <w:gridCol w:w="446"/>
        <w:gridCol w:w="1225"/>
        <w:gridCol w:w="945"/>
        <w:gridCol w:w="1035"/>
        <w:gridCol w:w="450"/>
        <w:gridCol w:w="1110"/>
        <w:gridCol w:w="987"/>
      </w:tblGrid>
      <w:tr>
        <w:tblPrEx>
          <w:tblCellMar>
            <w:top w:w="0" w:type="dxa"/>
            <w:left w:w="108" w:type="dxa"/>
            <w:bottom w:w="0" w:type="dxa"/>
            <w:right w:w="108" w:type="dxa"/>
          </w:tblCellMar>
        </w:tblPrEx>
        <w:trPr>
          <w:trHeight w:val="623" w:hRule="atLeast"/>
        </w:trPr>
        <w:tc>
          <w:tcPr>
            <w:tcW w:w="110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部门（单位）名称</w:t>
            </w:r>
          </w:p>
        </w:tc>
        <w:tc>
          <w:tcPr>
            <w:tcW w:w="3897" w:type="pct"/>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大厂回族自治县自然资源和规划局　</w:t>
            </w:r>
          </w:p>
        </w:tc>
      </w:tr>
      <w:tr>
        <w:tblPrEx>
          <w:tblCellMar>
            <w:top w:w="0" w:type="dxa"/>
            <w:left w:w="108" w:type="dxa"/>
            <w:bottom w:w="0" w:type="dxa"/>
            <w:right w:w="108" w:type="dxa"/>
          </w:tblCellMar>
        </w:tblPrEx>
        <w:trPr>
          <w:trHeight w:val="495" w:hRule="atLeast"/>
        </w:trPr>
        <w:tc>
          <w:tcPr>
            <w:tcW w:w="2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年度</w:t>
            </w:r>
          </w:p>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主要</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任务</w:t>
            </w:r>
          </w:p>
        </w:tc>
        <w:tc>
          <w:tcPr>
            <w:tcW w:w="273"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工作任务名称</w:t>
            </w:r>
          </w:p>
        </w:tc>
        <w:tc>
          <w:tcPr>
            <w:tcW w:w="5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工作任务</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完成情况</w:t>
            </w: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对应的</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拟安排项目</w:t>
            </w:r>
          </w:p>
        </w:tc>
        <w:tc>
          <w:tcPr>
            <w:tcW w:w="922"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项目完成情况</w:t>
            </w:r>
          </w:p>
        </w:tc>
        <w:tc>
          <w:tcPr>
            <w:tcW w:w="52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预算数</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（万元）</w:t>
            </w:r>
          </w:p>
        </w:tc>
        <w:tc>
          <w:tcPr>
            <w:tcW w:w="819" w:type="pct"/>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w:t>
            </w:r>
          </w:p>
        </w:tc>
        <w:tc>
          <w:tcPr>
            <w:tcW w:w="6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执行数</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（万元）</w:t>
            </w:r>
          </w:p>
        </w:tc>
        <w:tc>
          <w:tcPr>
            <w:tcW w:w="544" w:type="pct"/>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w:t>
            </w:r>
          </w:p>
        </w:tc>
      </w:tr>
      <w:tr>
        <w:tblPrEx>
          <w:tblCellMar>
            <w:top w:w="0" w:type="dxa"/>
            <w:left w:w="108" w:type="dxa"/>
            <w:bottom w:w="0" w:type="dxa"/>
            <w:right w:w="108" w:type="dxa"/>
          </w:tblCellMar>
        </w:tblPrEx>
        <w:trPr>
          <w:trHeight w:val="49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7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92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21"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71" w:type="pct"/>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c>
          <w:tcPr>
            <w:tcW w:w="248" w:type="pct"/>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其他资金</w:t>
            </w:r>
          </w:p>
        </w:tc>
        <w:tc>
          <w:tcPr>
            <w:tcW w:w="612" w:type="pct"/>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44"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r>
        <w:tblPrEx>
          <w:tblCellMar>
            <w:top w:w="0" w:type="dxa"/>
            <w:left w:w="108" w:type="dxa"/>
            <w:bottom w:w="0" w:type="dxa"/>
            <w:right w:w="108" w:type="dxa"/>
          </w:tblCellMar>
        </w:tblPrEx>
        <w:trPr>
          <w:trHeight w:val="49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73" w:type="pct"/>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推进土地收储工作</w:t>
            </w:r>
          </w:p>
        </w:tc>
        <w:tc>
          <w:tcPr>
            <w:tcW w:w="54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16"/>
                <w:szCs w:val="16"/>
                <w:u w:val="none"/>
                <w:lang w:val="en-US" w:eastAsia="zh-CN" w:bidi="ar"/>
              </w:rPr>
              <w:t>年初完成我县2022年度土地储备计划和三年滚动计划编制工作，并录入土地储备监管系统。同时严格按计划及县政府工作安排开展本年度土地收储工作。</w:t>
            </w:r>
          </w:p>
        </w:tc>
        <w:tc>
          <w:tcPr>
            <w:tcW w:w="4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0"/>
                <w:szCs w:val="20"/>
                <w:u w:val="none"/>
                <w:lang w:val="en-US" w:eastAsia="zh-CN" w:bidi="ar"/>
              </w:rPr>
              <w:t>2022年度土地储备资金</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18"/>
                <w:szCs w:val="18"/>
                <w:u w:val="none"/>
                <w:lang w:val="en-US" w:eastAsia="zh-CN" w:bidi="ar"/>
              </w:rPr>
              <w:t>2022年已完成37宗新增国有建设用地的收储入库工作，面积共43.1633公顷（约647.45亩）；完成存量国有建设用地21宗，面积22.94公顷（约270.75亩），支付土地储备收储资金18985.62万元。平整土地一宗，面积约144亩。同时完成涉及34个批次国有建设用地耕地占用税缴税工作，共缴税1807.114万元。</w:t>
            </w:r>
          </w:p>
        </w:tc>
        <w:tc>
          <w:tcPr>
            <w:tcW w:w="521"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18000.00 </w:t>
            </w:r>
          </w:p>
        </w:tc>
        <w:tc>
          <w:tcPr>
            <w:tcW w:w="571"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18000.00 </w:t>
            </w:r>
          </w:p>
        </w:tc>
        <w:tc>
          <w:tcPr>
            <w:tcW w:w="248" w:type="pct"/>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kern w:val="0"/>
                <w:sz w:val="24"/>
                <w:szCs w:val="24"/>
              </w:rPr>
            </w:pPr>
          </w:p>
        </w:tc>
        <w:tc>
          <w:tcPr>
            <w:tcW w:w="61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18000.00 </w:t>
            </w:r>
          </w:p>
        </w:tc>
        <w:tc>
          <w:tcPr>
            <w:tcW w:w="54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18000.00 </w:t>
            </w:r>
          </w:p>
        </w:tc>
      </w:tr>
      <w:tr>
        <w:tblPrEx>
          <w:tblCellMar>
            <w:top w:w="0" w:type="dxa"/>
            <w:left w:w="108" w:type="dxa"/>
            <w:bottom w:w="0" w:type="dxa"/>
            <w:right w:w="108" w:type="dxa"/>
          </w:tblCellMar>
        </w:tblPrEx>
        <w:trPr>
          <w:trHeight w:val="49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加快土地组卷报批工作</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16"/>
                <w:szCs w:val="16"/>
                <w:u w:val="none"/>
                <w:lang w:val="en-US" w:eastAsia="zh-CN" w:bidi="ar"/>
              </w:rPr>
              <w:t>一是完成新建北京至唐山铁路工程（大厂段）项目的土地征收工作，于2022年7月7日获得省政府批准（冀政转征函〔2022〕644号）；二是发布土地征收预公告30个，总面积140.0866公顷，其中批次卷宗22个，面积102.967公顷、增减挂钩卷宗4个，面积23.1221公顷；单独选址卷宗4个，总面积12.4835公顷。</w:t>
            </w:r>
          </w:p>
        </w:tc>
        <w:tc>
          <w:tcPr>
            <w:tcW w:w="4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18"/>
                <w:szCs w:val="18"/>
                <w:u w:val="none"/>
                <w:lang w:val="en-US" w:eastAsia="zh-CN" w:bidi="ar"/>
              </w:rPr>
              <w:t>2022年增减挂钩节余指标和占补平衡指标资金</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16"/>
                <w:szCs w:val="16"/>
                <w:u w:val="none"/>
                <w:lang w:val="en-US" w:eastAsia="zh-CN" w:bidi="ar"/>
              </w:rPr>
              <w:t>2022年购买城乡建设用地增减挂钩节余指标总面积334.0556亩，支付总费用8638.428万元；2022年购买增减挂钩节余指标补充粮食产能共计471.056亩，支付总费用822.112万元；截</w:t>
            </w:r>
            <w:r>
              <w:rPr>
                <w:rFonts w:hint="eastAsia" w:ascii="仿宋_GB2312" w:hAnsi="宋体" w:eastAsia="仿宋_GB2312" w:cs="仿宋_GB2312"/>
                <w:i w:val="0"/>
                <w:iCs w:val="0"/>
                <w:color w:val="000000"/>
                <w:kern w:val="0"/>
                <w:sz w:val="16"/>
                <w:szCs w:val="16"/>
                <w:u w:val="none"/>
                <w:lang w:val="en-US" w:eastAsia="zh-CN" w:bidi="ar"/>
              </w:rPr>
              <w:t>至</w:t>
            </w:r>
            <w:r>
              <w:rPr>
                <w:rFonts w:hint="default" w:ascii="仿宋_GB2312" w:hAnsi="宋体" w:eastAsia="仿宋_GB2312" w:cs="仿宋_GB2312"/>
                <w:i w:val="0"/>
                <w:iCs w:val="0"/>
                <w:color w:val="000000"/>
                <w:kern w:val="0"/>
                <w:sz w:val="16"/>
                <w:szCs w:val="16"/>
                <w:u w:val="none"/>
                <w:lang w:val="en-US" w:eastAsia="zh-CN" w:bidi="ar"/>
              </w:rPr>
              <w:t>目前已使用2022年城乡建设用增减挂钩节余指标154.821亩。</w:t>
            </w:r>
            <w:bookmarkStart w:id="0" w:name="_GoBack"/>
            <w:bookmarkEnd w:id="0"/>
          </w:p>
        </w:tc>
        <w:tc>
          <w:tcPr>
            <w:tcW w:w="521"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6486.54 </w:t>
            </w:r>
          </w:p>
        </w:tc>
        <w:tc>
          <w:tcPr>
            <w:tcW w:w="571"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6486.54 </w:t>
            </w:r>
          </w:p>
        </w:tc>
        <w:tc>
          <w:tcPr>
            <w:tcW w:w="248" w:type="pct"/>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kern w:val="0"/>
                <w:sz w:val="24"/>
                <w:szCs w:val="24"/>
              </w:rPr>
            </w:pPr>
          </w:p>
        </w:tc>
        <w:tc>
          <w:tcPr>
            <w:tcW w:w="61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6186.54 </w:t>
            </w:r>
          </w:p>
        </w:tc>
        <w:tc>
          <w:tcPr>
            <w:tcW w:w="54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6186.54 </w:t>
            </w:r>
          </w:p>
        </w:tc>
      </w:tr>
      <w:tr>
        <w:tblPrEx>
          <w:tblCellMar>
            <w:top w:w="0" w:type="dxa"/>
            <w:left w:w="108" w:type="dxa"/>
            <w:bottom w:w="0" w:type="dxa"/>
            <w:right w:w="108" w:type="dxa"/>
          </w:tblCellMar>
        </w:tblPrEx>
        <w:trPr>
          <w:trHeight w:val="49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7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优化不动产登记程序</w:t>
            </w:r>
          </w:p>
        </w:tc>
        <w:tc>
          <w:tcPr>
            <w:tcW w:w="54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16"/>
                <w:szCs w:val="16"/>
                <w:u w:val="none"/>
                <w:lang w:val="en-US" w:eastAsia="zh-CN" w:bidi="ar"/>
              </w:rPr>
              <w:t>为贯彻落实“三创四建”活动精神，深化“最多跑一次”改革，大力推动“网上办、马上办、一次办、就近办”，我局梳理简化业务办理流程及办理要件，为群众提供高效便捷、全面细致、温馨舒畅的服务。</w:t>
            </w:r>
          </w:p>
        </w:tc>
        <w:tc>
          <w:tcPr>
            <w:tcW w:w="4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0"/>
                <w:szCs w:val="20"/>
                <w:u w:val="none"/>
                <w:lang w:val="en-US" w:eastAsia="zh-CN" w:bidi="ar"/>
              </w:rPr>
              <w:t xml:space="preserve">自然资源和规划管理性服务费 </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16"/>
                <w:szCs w:val="16"/>
                <w:u w:val="none"/>
                <w:lang w:val="en-US" w:eastAsia="zh-CN" w:bidi="ar"/>
              </w:rPr>
              <w:t>自2022年1月1日至12月底共完成各类不动产登记45701笔，其中登记颁发不动产权证书18347本，不动产登记证明11535份，办理首次登记9033笔,转移登记17534笔,变更登记145笔,注销登记6384笔,更正登记238笔,查封、解封登记1141笔,抵押登记11226笔,各类查询业务22544余人次。</w:t>
            </w:r>
          </w:p>
        </w:tc>
        <w:tc>
          <w:tcPr>
            <w:tcW w:w="521"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212.03 </w:t>
            </w:r>
          </w:p>
        </w:tc>
        <w:tc>
          <w:tcPr>
            <w:tcW w:w="571"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212.03 </w:t>
            </w:r>
          </w:p>
        </w:tc>
        <w:tc>
          <w:tcPr>
            <w:tcW w:w="248" w:type="pct"/>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kern w:val="0"/>
                <w:sz w:val="24"/>
                <w:szCs w:val="24"/>
              </w:rPr>
            </w:pPr>
          </w:p>
        </w:tc>
        <w:tc>
          <w:tcPr>
            <w:tcW w:w="61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212.03 </w:t>
            </w:r>
          </w:p>
        </w:tc>
        <w:tc>
          <w:tcPr>
            <w:tcW w:w="54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212.03 </w:t>
            </w:r>
          </w:p>
        </w:tc>
      </w:tr>
      <w:tr>
        <w:tblPrEx>
          <w:tblCellMar>
            <w:top w:w="0" w:type="dxa"/>
            <w:left w:w="108" w:type="dxa"/>
            <w:bottom w:w="0" w:type="dxa"/>
            <w:right w:w="108" w:type="dxa"/>
          </w:tblCellMar>
        </w:tblPrEx>
        <w:trPr>
          <w:trHeight w:val="49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218" w:type="pct"/>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金额合计</w:t>
            </w:r>
          </w:p>
        </w:tc>
        <w:tc>
          <w:tcPr>
            <w:tcW w:w="521"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24698.57 </w:t>
            </w:r>
          </w:p>
        </w:tc>
        <w:tc>
          <w:tcPr>
            <w:tcW w:w="571"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24698.57 </w:t>
            </w:r>
          </w:p>
        </w:tc>
        <w:tc>
          <w:tcPr>
            <w:tcW w:w="248" w:type="pct"/>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kern w:val="0"/>
                <w:sz w:val="24"/>
                <w:szCs w:val="24"/>
              </w:rPr>
            </w:pPr>
          </w:p>
        </w:tc>
        <w:tc>
          <w:tcPr>
            <w:tcW w:w="61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24398.57 </w:t>
            </w:r>
          </w:p>
        </w:tc>
        <w:tc>
          <w:tcPr>
            <w:tcW w:w="54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24398.57 </w:t>
            </w:r>
          </w:p>
        </w:tc>
      </w:tr>
      <w:tr>
        <w:tblPrEx>
          <w:tblCellMar>
            <w:top w:w="0" w:type="dxa"/>
            <w:left w:w="108" w:type="dxa"/>
            <w:bottom w:w="0" w:type="dxa"/>
            <w:right w:w="108" w:type="dxa"/>
          </w:tblCellMar>
        </w:tblPrEx>
        <w:trPr>
          <w:trHeight w:val="49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73" w:type="pct"/>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推进土地收储工作</w:t>
            </w:r>
          </w:p>
        </w:tc>
        <w:tc>
          <w:tcPr>
            <w:tcW w:w="54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16"/>
                <w:szCs w:val="16"/>
                <w:u w:val="none"/>
                <w:lang w:val="en-US" w:eastAsia="zh-CN" w:bidi="ar"/>
              </w:rPr>
              <w:t>年初完成我县2022年度土地储备计划和三年滚动计划编制工作，并录入土地储备监管系统。同时严格按计划及县政府工作安排开展本年度土地收储工作。</w:t>
            </w:r>
          </w:p>
        </w:tc>
        <w:tc>
          <w:tcPr>
            <w:tcW w:w="4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20"/>
                <w:szCs w:val="20"/>
                <w:u w:val="none"/>
                <w:lang w:val="en-US" w:eastAsia="zh-CN" w:bidi="ar"/>
              </w:rPr>
              <w:t>2022年度土地储备资金</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default" w:ascii="仿宋_GB2312" w:hAnsi="宋体" w:eastAsia="仿宋_GB2312" w:cs="仿宋_GB2312"/>
                <w:i w:val="0"/>
                <w:iCs w:val="0"/>
                <w:color w:val="000000"/>
                <w:kern w:val="0"/>
                <w:sz w:val="18"/>
                <w:szCs w:val="18"/>
                <w:u w:val="none"/>
                <w:lang w:val="en-US" w:eastAsia="zh-CN" w:bidi="ar"/>
              </w:rPr>
              <w:t>2022年已完成37宗新增国有建设用地的收储入库工作，面积共43.1633公顷（约647.45亩）；完成存量国有建设用地21宗，面积22.94公顷（约270.75亩），支付土地储备收储资金18985.62万元。平整土地一宗，面积约144亩。同时完成涉及34个批次国有建设用地耕地占用税缴税工作，共缴税1807.114万元。</w:t>
            </w:r>
          </w:p>
        </w:tc>
        <w:tc>
          <w:tcPr>
            <w:tcW w:w="521"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18000.00 </w:t>
            </w:r>
          </w:p>
        </w:tc>
        <w:tc>
          <w:tcPr>
            <w:tcW w:w="571"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18000.00 </w:t>
            </w:r>
          </w:p>
        </w:tc>
        <w:tc>
          <w:tcPr>
            <w:tcW w:w="248" w:type="pct"/>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kern w:val="0"/>
                <w:sz w:val="24"/>
                <w:szCs w:val="24"/>
              </w:rPr>
            </w:pPr>
          </w:p>
        </w:tc>
        <w:tc>
          <w:tcPr>
            <w:tcW w:w="61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18000.00 </w:t>
            </w:r>
          </w:p>
        </w:tc>
        <w:tc>
          <w:tcPr>
            <w:tcW w:w="54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 xml:space="preserve">18000.00 </w:t>
            </w:r>
          </w:p>
        </w:tc>
      </w:tr>
      <w:tr>
        <w:tblPrEx>
          <w:tblCellMar>
            <w:top w:w="0" w:type="dxa"/>
            <w:left w:w="108" w:type="dxa"/>
            <w:bottom w:w="0" w:type="dxa"/>
            <w:right w:w="108" w:type="dxa"/>
          </w:tblCellMar>
        </w:tblPrEx>
        <w:trPr>
          <w:trHeight w:val="285" w:hRule="atLeast"/>
        </w:trPr>
        <w:tc>
          <w:tcPr>
            <w:tcW w:w="28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一级指标</w:t>
            </w:r>
          </w:p>
        </w:tc>
        <w:tc>
          <w:tcPr>
            <w:tcW w:w="81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二级指标</w:t>
            </w:r>
          </w:p>
        </w:tc>
        <w:tc>
          <w:tcPr>
            <w:tcW w:w="47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三级指标</w:t>
            </w:r>
          </w:p>
        </w:tc>
        <w:tc>
          <w:tcPr>
            <w:tcW w:w="2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目标值</w:t>
            </w:r>
          </w:p>
        </w:tc>
        <w:tc>
          <w:tcPr>
            <w:tcW w:w="67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实际值</w:t>
            </w:r>
          </w:p>
        </w:tc>
        <w:tc>
          <w:tcPr>
            <w:tcW w:w="134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权重</w:t>
            </w:r>
          </w:p>
        </w:tc>
        <w:tc>
          <w:tcPr>
            <w:tcW w:w="1157"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自评得分</w:t>
            </w:r>
          </w:p>
        </w:tc>
      </w:tr>
      <w:tr>
        <w:tblPrEx>
          <w:tblCellMar>
            <w:top w:w="0" w:type="dxa"/>
            <w:left w:w="108" w:type="dxa"/>
            <w:bottom w:w="0" w:type="dxa"/>
            <w:right w:w="108" w:type="dxa"/>
          </w:tblCellMar>
        </w:tblPrEx>
        <w:trPr>
          <w:trHeight w:val="312" w:hRule="atLeast"/>
        </w:trPr>
        <w:tc>
          <w:tcPr>
            <w:tcW w:w="2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部门管理（</w:t>
            </w:r>
            <w:r>
              <w:rPr>
                <w:rFonts w:ascii="Calibri" w:hAnsi="Calibri" w:eastAsia="仿宋_GB2312" w:cs="宋体"/>
                <w:color w:val="000000"/>
                <w:kern w:val="0"/>
                <w:sz w:val="24"/>
                <w:szCs w:val="24"/>
              </w:rPr>
              <w:t>40</w:t>
            </w:r>
            <w:r>
              <w:rPr>
                <w:rFonts w:hint="eastAsia" w:ascii="仿宋_GB2312" w:hAnsi="宋体" w:eastAsia="仿宋_GB2312" w:cs="宋体"/>
                <w:color w:val="000000"/>
                <w:kern w:val="0"/>
                <w:sz w:val="24"/>
                <w:szCs w:val="24"/>
              </w:rPr>
              <w:t>分）</w:t>
            </w: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资金投入</w:t>
            </w: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预算完成率</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≥95%</w:t>
            </w:r>
            <w:r>
              <w:rPr>
                <w:rFonts w:hint="eastAsia" w:ascii="仿宋_GB2312" w:hAnsi="Calibri" w:eastAsia="仿宋_GB2312" w:cs="宋体"/>
                <w:color w:val="000000"/>
                <w:kern w:val="0"/>
                <w:sz w:val="24"/>
                <w:szCs w:val="24"/>
              </w:rPr>
              <w:t>　</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98.93%</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4</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仿宋_GB2312" w:hAnsi="宋体" w:eastAsia="仿宋_GB2312" w:cs="仿宋_GB2312"/>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预算调整率</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0</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70.95%</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4</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仿宋_GB2312" w:hAnsi="宋体" w:eastAsia="仿宋_GB2312" w:cs="仿宋_GB2312"/>
                <w:i w:val="0"/>
                <w:iCs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支出进度率</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≥100%</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98.93%</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4</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3.5</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w:t>
            </w:r>
            <w:r>
              <w:rPr>
                <w:rFonts w:hint="eastAsia" w:ascii="仿宋_GB2312" w:hAnsi="Calibri" w:eastAsia="仿宋_GB2312" w:cs="宋体"/>
                <w:color w:val="000000"/>
                <w:kern w:val="0"/>
                <w:sz w:val="24"/>
                <w:szCs w:val="24"/>
              </w:rPr>
              <w:t>三公经费</w:t>
            </w:r>
            <w:r>
              <w:rPr>
                <w:rFonts w:ascii="Calibri" w:hAnsi="Calibri" w:eastAsia="宋体" w:cs="宋体"/>
                <w:color w:val="000000"/>
                <w:kern w:val="0"/>
                <w:sz w:val="24"/>
                <w:szCs w:val="24"/>
              </w:rPr>
              <w:t>”</w:t>
            </w:r>
            <w:r>
              <w:rPr>
                <w:rFonts w:hint="eastAsia" w:ascii="仿宋_GB2312" w:hAnsi="Calibri" w:eastAsia="仿宋_GB2312" w:cs="宋体"/>
                <w:color w:val="000000"/>
                <w:kern w:val="0"/>
                <w:sz w:val="24"/>
                <w:szCs w:val="24"/>
              </w:rPr>
              <w:t>变动率</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 w:val="24"/>
                <w:szCs w:val="24"/>
              </w:rPr>
            </w:pPr>
            <w:r>
              <w:rPr>
                <w:rFonts w:ascii="Calibri" w:hAnsi="Calibri" w:eastAsia="宋体" w:cs="宋体"/>
                <w:color w:val="000000"/>
                <w:kern w:val="0"/>
                <w:sz w:val="24"/>
                <w:szCs w:val="24"/>
              </w:rPr>
              <w:t>≤0</w:t>
            </w:r>
            <w:r>
              <w:rPr>
                <w:rFonts w:hint="eastAsia" w:ascii="仿宋_GB2312" w:hAnsi="Calibri" w:eastAsia="仿宋_GB2312" w:cs="宋体"/>
                <w:color w:val="000000"/>
                <w:kern w:val="0"/>
                <w:sz w:val="24"/>
                <w:szCs w:val="24"/>
              </w:rPr>
              <w:t>　</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191.67%</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4</w:t>
            </w:r>
          </w:p>
        </w:tc>
        <w:tc>
          <w:tcPr>
            <w:tcW w:w="1157" w:type="pct"/>
            <w:gridSpan w:val="2"/>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仿宋_GB2312" w:hAnsi="宋体" w:eastAsia="仿宋_GB2312" w:cs="仿宋_GB2312"/>
                <w:i w:val="0"/>
                <w:iCs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结转结余变动率</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≤0</w:t>
            </w:r>
            <w:r>
              <w:rPr>
                <w:rFonts w:hint="eastAsia" w:ascii="仿宋_GB2312" w:hAnsi="Calibri" w:eastAsia="仿宋_GB2312" w:cs="宋体"/>
                <w:color w:val="000000"/>
                <w:kern w:val="0"/>
                <w:sz w:val="24"/>
                <w:szCs w:val="24"/>
              </w:rPr>
              <w:t>　　</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-97.86%</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4</w:t>
            </w:r>
          </w:p>
        </w:tc>
        <w:tc>
          <w:tcPr>
            <w:tcW w:w="1157" w:type="pct"/>
            <w:gridSpan w:val="2"/>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仿宋_GB2312" w:hAnsi="宋体" w:eastAsia="仿宋_GB2312" w:cs="仿宋_GB2312"/>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财务管理</w:t>
            </w: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财务管理制度健全性</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健全　</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健全</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仿宋_GB2312" w:hAnsi="宋体" w:eastAsia="仿宋_GB2312" w:cs="仿宋_GB2312"/>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资金使用合规性</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合规　</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合规</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3</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仿宋_GB2312" w:hAnsi="宋体" w:eastAsia="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采购管理</w:t>
            </w: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政府采购执行率</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≥95%</w:t>
            </w:r>
            <w:r>
              <w:rPr>
                <w:rFonts w:hint="eastAsia" w:ascii="仿宋_GB2312" w:hAnsi="Calibri" w:eastAsia="仿宋_GB2312" w:cs="宋体"/>
                <w:color w:val="000000"/>
                <w:kern w:val="0"/>
                <w:sz w:val="24"/>
                <w:szCs w:val="24"/>
              </w:rPr>
              <w:t>　</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139.81%</w:t>
            </w:r>
          </w:p>
        </w:tc>
        <w:tc>
          <w:tcPr>
            <w:tcW w:w="1341" w:type="pct"/>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3</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仿宋_GB2312" w:hAnsi="宋体" w:eastAsia="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资产管理</w:t>
            </w: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资产管理规范性</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规范　</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规范</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仿宋_GB2312" w:hAnsi="宋体" w:eastAsia="仿宋_GB2312" w:cs="仿宋_GB2312"/>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人员管理</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在职人员控制率</w:t>
            </w:r>
          </w:p>
        </w:tc>
        <w:tc>
          <w:tcPr>
            <w:tcW w:w="2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≤100%</w:t>
            </w:r>
            <w:r>
              <w:rPr>
                <w:rFonts w:hint="eastAsia" w:ascii="仿宋_GB2312" w:hAnsi="Calibri" w:eastAsia="仿宋_GB2312" w:cs="宋体"/>
                <w:color w:val="000000"/>
                <w:kern w:val="0"/>
                <w:sz w:val="24"/>
                <w:szCs w:val="24"/>
              </w:rPr>
              <w:t>　</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100%</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w:t>
            </w:r>
          </w:p>
        </w:tc>
        <w:tc>
          <w:tcPr>
            <w:tcW w:w="1157" w:type="pct"/>
            <w:gridSpan w:val="2"/>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仿宋_GB2312" w:hAnsi="宋体" w:eastAsia="仿宋_GB2312" w:cs="仿宋_GB2312"/>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tcBorders>
              <w:top w:val="single" w:color="auto" w:sz="4" w:space="0"/>
              <w:left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信息管理</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预决算信息公开性</w:t>
            </w:r>
          </w:p>
        </w:tc>
        <w:tc>
          <w:tcPr>
            <w:tcW w:w="2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按规定公开</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按规定公开</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3</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基础信息完备性</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完备</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完备</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绩效管理</w:t>
            </w: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绩效管理制度健全性</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健全</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健全</w:t>
            </w:r>
          </w:p>
        </w:tc>
        <w:tc>
          <w:tcPr>
            <w:tcW w:w="1341" w:type="pct"/>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绩效目标审核通过率</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100%</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100%</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2</w:t>
            </w:r>
          </w:p>
        </w:tc>
        <w:tc>
          <w:tcPr>
            <w:tcW w:w="1157" w:type="pct"/>
            <w:gridSpan w:val="2"/>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绩效自评覆盖率</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100%</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100%</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w:t>
            </w:r>
          </w:p>
        </w:tc>
        <w:tc>
          <w:tcPr>
            <w:tcW w:w="1157" w:type="pct"/>
            <w:gridSpan w:val="2"/>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绩效指标体系构建情况</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健全</w:t>
            </w:r>
            <w:r>
              <w:rPr>
                <w:rFonts w:ascii="Calibri" w:hAnsi="Calibri" w:eastAsia="仿宋_GB2312" w:cs="宋体"/>
                <w:color w:val="FF0000"/>
                <w:kern w:val="0"/>
                <w:sz w:val="24"/>
                <w:szCs w:val="24"/>
              </w:rPr>
              <w:t xml:space="preserve">  </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健全</w:t>
            </w:r>
            <w:r>
              <w:rPr>
                <w:rFonts w:hint="default" w:ascii="Calibri" w:hAnsi="Calibri" w:eastAsia="仿宋_GB2312" w:cs="Calibri"/>
                <w:i w:val="0"/>
                <w:iCs w:val="0"/>
                <w:color w:val="FF0000"/>
                <w:kern w:val="0"/>
                <w:sz w:val="24"/>
                <w:szCs w:val="24"/>
                <w:u w:val="none"/>
                <w:lang w:val="en-US" w:eastAsia="zh-CN" w:bidi="ar"/>
              </w:rPr>
              <w:t xml:space="preserve">  </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2</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重点工作管理</w:t>
            </w: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重点工作制度健全性</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健全</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健全</w:t>
            </w:r>
          </w:p>
        </w:tc>
        <w:tc>
          <w:tcPr>
            <w:tcW w:w="1341" w:type="pct"/>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2" w:hRule="atLeast"/>
        </w:trPr>
        <w:tc>
          <w:tcPr>
            <w:tcW w:w="2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部门产出（</w:t>
            </w:r>
            <w:r>
              <w:rPr>
                <w:rFonts w:ascii="Calibri" w:hAnsi="Calibri" w:eastAsia="仿宋_GB2312" w:cs="宋体"/>
                <w:color w:val="000000"/>
                <w:kern w:val="0"/>
                <w:sz w:val="24"/>
                <w:szCs w:val="24"/>
              </w:rPr>
              <w:t>40</w:t>
            </w:r>
            <w:r>
              <w:rPr>
                <w:rFonts w:hint="eastAsia" w:ascii="仿宋_GB2312" w:hAnsi="宋体" w:eastAsia="仿宋_GB2312" w:cs="宋体"/>
                <w:color w:val="000000"/>
                <w:kern w:val="0"/>
                <w:sz w:val="24"/>
                <w:szCs w:val="24"/>
              </w:rPr>
              <w:t>分）</w:t>
            </w: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w:t>
            </w:r>
            <w:r>
              <w:rPr>
                <w:rFonts w:ascii="Calibri" w:hAnsi="Calibri" w:eastAsia="仿宋_GB2312" w:cs="宋体"/>
                <w:color w:val="000000"/>
                <w:kern w:val="0"/>
                <w:sz w:val="24"/>
                <w:szCs w:val="24"/>
              </w:rPr>
              <w:t xml:space="preserve">  </w:t>
            </w:r>
            <w:r>
              <w:rPr>
                <w:rFonts w:hint="eastAsia" w:ascii="仿宋_GB2312" w:hAnsi="宋体" w:eastAsia="仿宋_GB2312" w:cs="宋体"/>
                <w:color w:val="000000"/>
                <w:kern w:val="0"/>
                <w:sz w:val="24"/>
                <w:szCs w:val="24"/>
              </w:rPr>
              <w:t>量</w:t>
            </w: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重点工作实际完成率</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100%</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100%</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15</w:t>
            </w:r>
          </w:p>
        </w:tc>
        <w:tc>
          <w:tcPr>
            <w:tcW w:w="1157" w:type="pct"/>
            <w:gridSpan w:val="2"/>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15</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w:t>
            </w:r>
          </w:p>
        </w:tc>
        <w:tc>
          <w:tcPr>
            <w:tcW w:w="2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 w:val="24"/>
                <w:szCs w:val="24"/>
              </w:rPr>
            </w:pPr>
            <w:r>
              <w:rPr>
                <w:rFonts w:ascii="Calibri" w:hAnsi="Calibri" w:eastAsia="宋体" w:cs="宋体"/>
                <w:color w:val="000000"/>
                <w:kern w:val="0"/>
                <w:sz w:val="24"/>
                <w:szCs w:val="24"/>
              </w:rPr>
              <w:t>　</w:t>
            </w:r>
          </w:p>
        </w:tc>
        <w:tc>
          <w:tcPr>
            <w:tcW w:w="6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100%</w:t>
            </w:r>
          </w:p>
        </w:tc>
        <w:tc>
          <w:tcPr>
            <w:tcW w:w="1341" w:type="pct"/>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10</w:t>
            </w:r>
          </w:p>
        </w:tc>
        <w:tc>
          <w:tcPr>
            <w:tcW w:w="1157" w:type="pct"/>
            <w:gridSpan w:val="2"/>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质</w:t>
            </w:r>
            <w:r>
              <w:rPr>
                <w:rFonts w:ascii="Calibri" w:hAnsi="Calibri" w:eastAsia="仿宋_GB2312" w:cs="宋体"/>
                <w:color w:val="000000"/>
                <w:kern w:val="0"/>
                <w:sz w:val="24"/>
                <w:szCs w:val="24"/>
              </w:rPr>
              <w:t xml:space="preserve">  </w:t>
            </w:r>
            <w:r>
              <w:rPr>
                <w:rFonts w:hint="eastAsia" w:ascii="仿宋_GB2312" w:hAnsi="宋体" w:eastAsia="仿宋_GB2312" w:cs="宋体"/>
                <w:color w:val="000000"/>
                <w:kern w:val="0"/>
                <w:sz w:val="24"/>
                <w:szCs w:val="24"/>
              </w:rPr>
              <w:t>量</w:t>
            </w: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重点工作质量达标率</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100%</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100%</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10</w:t>
            </w:r>
          </w:p>
        </w:tc>
        <w:tc>
          <w:tcPr>
            <w:tcW w:w="1157" w:type="pct"/>
            <w:gridSpan w:val="2"/>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w:t>
            </w:r>
          </w:p>
        </w:tc>
        <w:tc>
          <w:tcPr>
            <w:tcW w:w="2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 w:val="24"/>
                <w:szCs w:val="24"/>
              </w:rPr>
            </w:pPr>
            <w:r>
              <w:rPr>
                <w:rFonts w:ascii="Calibri" w:hAnsi="Calibri" w:eastAsia="宋体" w:cs="宋体"/>
                <w:color w:val="000000"/>
                <w:kern w:val="0"/>
                <w:sz w:val="24"/>
                <w:szCs w:val="24"/>
              </w:rPr>
              <w:t>　</w:t>
            </w:r>
          </w:p>
        </w:tc>
        <w:tc>
          <w:tcPr>
            <w:tcW w:w="6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100%</w:t>
            </w:r>
          </w:p>
        </w:tc>
        <w:tc>
          <w:tcPr>
            <w:tcW w:w="1341" w:type="pct"/>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5</w:t>
            </w:r>
          </w:p>
        </w:tc>
        <w:tc>
          <w:tcPr>
            <w:tcW w:w="1157" w:type="pct"/>
            <w:gridSpan w:val="2"/>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时　效</w:t>
            </w: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重点工作完成及时率</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100%</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107605万元</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1157" w:type="pct"/>
            <w:gridSpan w:val="2"/>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w:t>
            </w:r>
          </w:p>
        </w:tc>
        <w:tc>
          <w:tcPr>
            <w:tcW w:w="2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 w:val="24"/>
                <w:szCs w:val="24"/>
              </w:rPr>
            </w:pPr>
            <w:r>
              <w:rPr>
                <w:rFonts w:ascii="Calibri" w:hAnsi="Calibri" w:eastAsia="宋体" w:cs="宋体"/>
                <w:color w:val="000000"/>
                <w:kern w:val="0"/>
                <w:sz w:val="24"/>
                <w:szCs w:val="24"/>
              </w:rPr>
              <w:t>　</w:t>
            </w:r>
          </w:p>
        </w:tc>
        <w:tc>
          <w:tcPr>
            <w:tcW w:w="6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仿宋_GB2312" w:hAnsi="宋体" w:eastAsia="仿宋_GB2312" w:cs="仿宋_GB2312"/>
                <w:i w:val="0"/>
                <w:iCs w:val="0"/>
                <w:color w:val="000000"/>
                <w:kern w:val="0"/>
                <w:sz w:val="24"/>
                <w:szCs w:val="24"/>
                <w:u w:val="none"/>
                <w:lang w:val="en-US" w:eastAsia="zh-CN" w:bidi="ar"/>
              </w:rPr>
              <w:t>健全</w:t>
            </w:r>
          </w:p>
        </w:tc>
        <w:tc>
          <w:tcPr>
            <w:tcW w:w="1341" w:type="pct"/>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w:t>
            </w:r>
          </w:p>
        </w:tc>
        <w:tc>
          <w:tcPr>
            <w:tcW w:w="1157" w:type="pct"/>
            <w:gridSpan w:val="2"/>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成　本</w:t>
            </w: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公用经费控制率　</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≤100%</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100%</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15</w:t>
            </w:r>
          </w:p>
        </w:tc>
        <w:tc>
          <w:tcPr>
            <w:tcW w:w="1157"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15</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1570"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5" w:hRule="atLeast"/>
        </w:trPr>
        <w:tc>
          <w:tcPr>
            <w:tcW w:w="2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部门效果（</w:t>
            </w:r>
            <w:r>
              <w:rPr>
                <w:rFonts w:ascii="Calibri" w:hAnsi="Calibri" w:eastAsia="仿宋_GB2312" w:cs="宋体"/>
                <w:color w:val="000000"/>
                <w:kern w:val="0"/>
                <w:sz w:val="24"/>
                <w:szCs w:val="24"/>
              </w:rPr>
              <w:t>20</w:t>
            </w:r>
            <w:r>
              <w:rPr>
                <w:rFonts w:hint="eastAsia" w:ascii="仿宋_GB2312" w:hAnsi="宋体" w:eastAsia="仿宋_GB2312" w:cs="宋体"/>
                <w:color w:val="000000"/>
                <w:kern w:val="0"/>
                <w:sz w:val="24"/>
                <w:szCs w:val="24"/>
              </w:rPr>
              <w:t>分）</w:t>
            </w:r>
          </w:p>
        </w:tc>
        <w:tc>
          <w:tcPr>
            <w:tcW w:w="81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经济效益</w:t>
            </w:r>
          </w:p>
        </w:tc>
        <w:tc>
          <w:tcPr>
            <w:tcW w:w="4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增加地方土地出让财政收入</w:t>
            </w:r>
          </w:p>
        </w:tc>
        <w:tc>
          <w:tcPr>
            <w:tcW w:w="24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有效增加</w:t>
            </w:r>
          </w:p>
        </w:tc>
        <w:tc>
          <w:tcPr>
            <w:tcW w:w="6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107605万元</w:t>
            </w:r>
          </w:p>
        </w:tc>
        <w:tc>
          <w:tcPr>
            <w:tcW w:w="134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1157" w:type="pct"/>
            <w:gridSpan w:val="2"/>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1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restart"/>
            <w:tcBorders>
              <w:top w:val="single" w:color="auto" w:sz="4" w:space="0"/>
              <w:left w:val="nil"/>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社会效益</w:t>
            </w:r>
          </w:p>
        </w:tc>
        <w:tc>
          <w:tcPr>
            <w:tcW w:w="4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为公益性、福利性、基础设施等项目提供用地保障土地供应</w:t>
            </w:r>
          </w:p>
        </w:tc>
        <w:tc>
          <w:tcPr>
            <w:tcW w:w="24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保障项目有序开展</w:t>
            </w:r>
          </w:p>
        </w:tc>
        <w:tc>
          <w:tcPr>
            <w:tcW w:w="6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保障</w:t>
            </w:r>
          </w:p>
        </w:tc>
        <w:tc>
          <w:tcPr>
            <w:tcW w:w="13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157" w:type="pct"/>
            <w:gridSpan w:val="2"/>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left w:val="nil"/>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p>
        </w:tc>
        <w:tc>
          <w:tcPr>
            <w:tcW w:w="4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地质灾害防治,保障人民群众的生命财产安全，维护社会稳定</w:t>
            </w:r>
          </w:p>
        </w:tc>
        <w:tc>
          <w:tcPr>
            <w:tcW w:w="24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提高了群众生命财产安全保障</w:t>
            </w:r>
          </w:p>
        </w:tc>
        <w:tc>
          <w:tcPr>
            <w:tcW w:w="6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有效提高</w:t>
            </w:r>
          </w:p>
        </w:tc>
        <w:tc>
          <w:tcPr>
            <w:tcW w:w="13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157" w:type="pct"/>
            <w:gridSpan w:val="2"/>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left w:val="nil"/>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p>
        </w:tc>
        <w:tc>
          <w:tcPr>
            <w:tcW w:w="4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不动产数据整合、扫描 、房地数据比对工作，产权明晰，有利于产权纠纷处理</w:t>
            </w:r>
          </w:p>
        </w:tc>
        <w:tc>
          <w:tcPr>
            <w:tcW w:w="24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明确产权减少纠纷</w:t>
            </w:r>
          </w:p>
        </w:tc>
        <w:tc>
          <w:tcPr>
            <w:tcW w:w="6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有效减少</w:t>
            </w:r>
          </w:p>
        </w:tc>
        <w:tc>
          <w:tcPr>
            <w:tcW w:w="13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1157" w:type="pct"/>
            <w:gridSpan w:val="2"/>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1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p>
        </w:tc>
        <w:tc>
          <w:tcPr>
            <w:tcW w:w="4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永久基本农田核查整改补划定，保障粮食生产安全，为全县提供粮食供给稳定保障。</w:t>
            </w:r>
          </w:p>
        </w:tc>
        <w:tc>
          <w:tcPr>
            <w:tcW w:w="24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增加了粮食生产安全保障</w:t>
            </w:r>
          </w:p>
        </w:tc>
        <w:tc>
          <w:tcPr>
            <w:tcW w:w="6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增加</w:t>
            </w:r>
          </w:p>
        </w:tc>
        <w:tc>
          <w:tcPr>
            <w:tcW w:w="13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1157" w:type="pct"/>
            <w:gridSpan w:val="2"/>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15"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生态效益</w:t>
            </w:r>
          </w:p>
        </w:tc>
        <w:tc>
          <w:tcPr>
            <w:tcW w:w="4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Calibri" w:hAnsi="Calibri"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加强国土空间生态保护修复，推进全区生态文明建设，协调经济发展与自然资源保护问题，</w:t>
            </w:r>
          </w:p>
        </w:tc>
        <w:tc>
          <w:tcPr>
            <w:tcW w:w="24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提高当地人民生产生活条件</w:t>
            </w:r>
          </w:p>
        </w:tc>
        <w:tc>
          <w:tcPr>
            <w:tcW w:w="6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0"/>
                <w:szCs w:val="20"/>
                <w:u w:val="none"/>
                <w:lang w:val="en-US" w:eastAsia="zh-CN" w:bidi="ar"/>
              </w:rPr>
              <w:t>有效提高</w:t>
            </w:r>
          </w:p>
        </w:tc>
        <w:tc>
          <w:tcPr>
            <w:tcW w:w="13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1157" w:type="pct"/>
            <w:gridSpan w:val="2"/>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满意度</w:t>
            </w:r>
          </w:p>
        </w:tc>
        <w:tc>
          <w:tcPr>
            <w:tcW w:w="4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hint="eastAsia" w:ascii="Calibri" w:hAnsi="Calibri" w:eastAsia="宋体" w:cs="宋体"/>
                <w:color w:val="000000"/>
                <w:kern w:val="0"/>
                <w:sz w:val="24"/>
                <w:szCs w:val="24"/>
              </w:rPr>
              <w:t>服务对象满意度</w:t>
            </w:r>
            <w:r>
              <w:rPr>
                <w:rFonts w:ascii="Calibri" w:hAnsi="Calibri" w:eastAsia="宋体" w:cs="宋体"/>
                <w:color w:val="000000"/>
                <w:kern w:val="0"/>
                <w:sz w:val="24"/>
                <w:szCs w:val="24"/>
              </w:rPr>
              <w:t>　</w:t>
            </w:r>
          </w:p>
        </w:tc>
        <w:tc>
          <w:tcPr>
            <w:tcW w:w="2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alibri" w:hAnsi="Calibri" w:eastAsia="宋体" w:cs="宋体"/>
                <w:color w:val="000000"/>
                <w:kern w:val="0"/>
                <w:sz w:val="24"/>
                <w:szCs w:val="24"/>
              </w:rPr>
            </w:pPr>
            <w:r>
              <w:rPr>
                <w:rFonts w:ascii="Calibri" w:hAnsi="Calibri" w:eastAsia="宋体" w:cs="宋体"/>
                <w:color w:val="000000"/>
                <w:kern w:val="0"/>
                <w:sz w:val="24"/>
                <w:szCs w:val="24"/>
              </w:rPr>
              <w:t>≥90%</w:t>
            </w:r>
          </w:p>
        </w:tc>
        <w:tc>
          <w:tcPr>
            <w:tcW w:w="6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100%</w:t>
            </w:r>
          </w:p>
        </w:tc>
        <w:tc>
          <w:tcPr>
            <w:tcW w:w="1341"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10</w:t>
            </w:r>
          </w:p>
        </w:tc>
        <w:tc>
          <w:tcPr>
            <w:tcW w:w="1157" w:type="pct"/>
            <w:gridSpan w:val="2"/>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312" w:hRule="atLeast"/>
        </w:trPr>
        <w:tc>
          <w:tcPr>
            <w:tcW w:w="28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1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341"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宋体"/>
                <w:color w:val="000000"/>
                <w:kern w:val="0"/>
                <w:sz w:val="24"/>
                <w:szCs w:val="24"/>
              </w:rPr>
            </w:pPr>
          </w:p>
        </w:tc>
        <w:tc>
          <w:tcPr>
            <w:tcW w:w="1157" w:type="pct"/>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15" w:hRule="atLeast"/>
        </w:trPr>
        <w:tc>
          <w:tcPr>
            <w:tcW w:w="157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　计</w:t>
            </w:r>
          </w:p>
        </w:tc>
        <w:tc>
          <w:tcPr>
            <w:tcW w:w="2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Calibri" w:hAnsi="Calibri" w:eastAsia="宋体" w:cs="宋体"/>
                <w:color w:val="000000"/>
                <w:kern w:val="0"/>
                <w:sz w:val="24"/>
                <w:szCs w:val="24"/>
              </w:rPr>
            </w:pPr>
            <w:r>
              <w:rPr>
                <w:rFonts w:ascii="Calibri" w:hAnsi="Calibri" w:eastAsia="宋体" w:cs="宋体"/>
                <w:color w:val="000000"/>
                <w:kern w:val="0"/>
                <w:sz w:val="24"/>
                <w:szCs w:val="24"/>
              </w:rPr>
              <w:t>-</w:t>
            </w:r>
          </w:p>
        </w:tc>
        <w:tc>
          <w:tcPr>
            <w:tcW w:w="67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Calibri" w:hAnsi="Calibri" w:eastAsia="宋体" w:cs="宋体"/>
                <w:color w:val="000000"/>
                <w:kern w:val="0"/>
                <w:sz w:val="24"/>
                <w:szCs w:val="24"/>
              </w:rPr>
            </w:pPr>
            <w:r>
              <w:rPr>
                <w:rFonts w:hint="default" w:ascii="Calibri" w:hAnsi="Calibri" w:eastAsia="宋体" w:cs="Calibri"/>
                <w:i w:val="0"/>
                <w:iCs w:val="0"/>
                <w:color w:val="000000"/>
                <w:kern w:val="0"/>
                <w:sz w:val="24"/>
                <w:szCs w:val="24"/>
                <w:u w:val="none"/>
                <w:lang w:val="en-US" w:eastAsia="zh-CN" w:bidi="ar"/>
              </w:rPr>
              <w:t>-</w:t>
            </w:r>
          </w:p>
        </w:tc>
        <w:tc>
          <w:tcPr>
            <w:tcW w:w="1341" w:type="pct"/>
            <w:gridSpan w:val="3"/>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100</w:t>
            </w:r>
          </w:p>
        </w:tc>
        <w:tc>
          <w:tcPr>
            <w:tcW w:w="1157" w:type="pct"/>
            <w:gridSpan w:val="2"/>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Cs w:val="21"/>
              </w:rPr>
            </w:pPr>
            <w:r>
              <w:rPr>
                <w:rFonts w:hint="default" w:ascii="Calibri" w:hAnsi="Calibri" w:eastAsia="宋体" w:cs="Calibri"/>
                <w:i w:val="0"/>
                <w:iCs w:val="0"/>
                <w:color w:val="000000"/>
                <w:kern w:val="0"/>
                <w:sz w:val="24"/>
                <w:szCs w:val="24"/>
                <w:u w:val="none"/>
                <w:lang w:val="en-US" w:eastAsia="zh-CN" w:bidi="ar"/>
              </w:rPr>
              <w:t>91.5</w:t>
            </w:r>
          </w:p>
        </w:tc>
      </w:tr>
      <w:tr>
        <w:tblPrEx>
          <w:tblCellMar>
            <w:top w:w="0" w:type="dxa"/>
            <w:left w:w="108" w:type="dxa"/>
            <w:bottom w:w="0" w:type="dxa"/>
            <w:right w:w="108" w:type="dxa"/>
          </w:tblCellMar>
        </w:tblPrEx>
        <w:trPr>
          <w:trHeight w:val="285" w:hRule="atLeast"/>
        </w:trPr>
        <w:tc>
          <w:tcPr>
            <w:tcW w:w="157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评价结论</w:t>
            </w:r>
          </w:p>
        </w:tc>
        <w:tc>
          <w:tcPr>
            <w:tcW w:w="3420" w:type="pct"/>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12" w:hRule="atLeast"/>
        </w:trPr>
        <w:tc>
          <w:tcPr>
            <w:tcW w:w="1579" w:type="pct"/>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绩效目标完成的指标</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（超标完成的指标需说明偏差原因）</w:t>
            </w:r>
          </w:p>
        </w:tc>
        <w:tc>
          <w:tcPr>
            <w:tcW w:w="3420" w:type="pct"/>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tbl>
            <w:tblPr>
              <w:tblStyle w:val="8"/>
              <w:tblW w:w="6690"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6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2022年大厂县自然资源和规划局严格按照项目绩效目标和资金管理办法规定使用和管理财政资金，确保了实际支出与资金规定用途一致，资金收支平衡。严格执行财务管理制度及资金使用管理办法，无截留、挤占、挪用财政资金等违规违法行为，部门整体支出绩效自评结果较好。</w:t>
                  </w:r>
                </w:p>
              </w:tc>
            </w:tr>
          </w:tbl>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12" w:hRule="atLeast"/>
        </w:trPr>
        <w:tc>
          <w:tcPr>
            <w:tcW w:w="1579" w:type="pct"/>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3420" w:type="pct"/>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285" w:hRule="atLeast"/>
        </w:trPr>
        <w:tc>
          <w:tcPr>
            <w:tcW w:w="157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尚未完成的绩效指标与偏差程度</w:t>
            </w:r>
          </w:p>
        </w:tc>
        <w:tc>
          <w:tcPr>
            <w:tcW w:w="3420" w:type="pct"/>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 w:hAnsi="仿宋" w:eastAsia="仿宋" w:cs="仿宋"/>
              </w:rPr>
              <w:t>1.“三公经费”变动率与预期目标差额191.67%；2.支出进度率98.93%，与预期目标差额1.07%；3.预算调整率与预期目标差额70.95%。</w:t>
            </w:r>
          </w:p>
        </w:tc>
      </w:tr>
      <w:tr>
        <w:tblPrEx>
          <w:tblCellMar>
            <w:top w:w="0" w:type="dxa"/>
            <w:left w:w="108" w:type="dxa"/>
            <w:bottom w:w="0" w:type="dxa"/>
            <w:right w:w="108" w:type="dxa"/>
          </w:tblCellMar>
        </w:tblPrEx>
        <w:trPr>
          <w:trHeight w:val="285" w:hRule="atLeast"/>
        </w:trPr>
        <w:tc>
          <w:tcPr>
            <w:tcW w:w="157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尚未完成的绩效指标原因说明</w:t>
            </w:r>
          </w:p>
        </w:tc>
        <w:tc>
          <w:tcPr>
            <w:tcW w:w="3420" w:type="pct"/>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三公经费”变动率过大原因为：2022年因我局两辆执法执勤车辆年久失修，无法正常使用，经县政府及财政部门审批，更新两辆执法执勤车，增加公务用车购置相关支出。2.支出进度率未达100%原因为：我局涉及一笔粮食产能支出300万元，因上级政策调整，待新政策明确后进行支出。3.预算调整率过大原因为，受财力限制，部分项目预算减少。　</w:t>
            </w:r>
          </w:p>
        </w:tc>
      </w:tr>
      <w:tr>
        <w:tblPrEx>
          <w:tblCellMar>
            <w:top w:w="0" w:type="dxa"/>
            <w:left w:w="108" w:type="dxa"/>
            <w:bottom w:w="0" w:type="dxa"/>
            <w:right w:w="108" w:type="dxa"/>
          </w:tblCellMar>
        </w:tblPrEx>
        <w:trPr>
          <w:trHeight w:val="638" w:hRule="atLeast"/>
        </w:trPr>
        <w:tc>
          <w:tcPr>
            <w:tcW w:w="519"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改进措施</w:t>
            </w:r>
          </w:p>
        </w:tc>
        <w:tc>
          <w:tcPr>
            <w:tcW w:w="1060" w:type="pct"/>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Calibri" w:hAnsi="Calibri" w:eastAsia="宋体" w:cs="宋体"/>
                <w:color w:val="000000"/>
                <w:kern w:val="0"/>
                <w:sz w:val="24"/>
                <w:szCs w:val="24"/>
              </w:rPr>
            </w:pPr>
            <w:r>
              <w:rPr>
                <w:rFonts w:ascii="Calibri" w:hAnsi="Calibri" w:eastAsia="宋体" w:cs="宋体"/>
                <w:color w:val="000000"/>
                <w:kern w:val="0"/>
                <w:sz w:val="24"/>
                <w:szCs w:val="24"/>
              </w:rPr>
              <w:t xml:space="preserve">1. </w:t>
            </w:r>
            <w:r>
              <w:rPr>
                <w:rFonts w:hint="eastAsia" w:ascii="仿宋_GB2312" w:hAnsi="Calibri" w:eastAsia="仿宋_GB2312" w:cs="宋体"/>
                <w:color w:val="000000"/>
                <w:kern w:val="0"/>
                <w:sz w:val="24"/>
                <w:szCs w:val="24"/>
              </w:rPr>
              <w:t>对部门预算编制、预算执行与部门决算等的措施</w:t>
            </w:r>
          </w:p>
        </w:tc>
        <w:tc>
          <w:tcPr>
            <w:tcW w:w="3420" w:type="pct"/>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无</w:t>
            </w: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38" w:hRule="atLeast"/>
        </w:trPr>
        <w:tc>
          <w:tcPr>
            <w:tcW w:w="51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60" w:type="pct"/>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Calibri" w:hAnsi="Calibri" w:eastAsia="宋体" w:cs="宋体"/>
                <w:color w:val="000000"/>
                <w:kern w:val="0"/>
                <w:sz w:val="24"/>
                <w:szCs w:val="24"/>
              </w:rPr>
            </w:pPr>
            <w:r>
              <w:rPr>
                <w:rFonts w:ascii="Calibri" w:hAnsi="Calibri" w:eastAsia="宋体" w:cs="宋体"/>
                <w:color w:val="000000"/>
                <w:kern w:val="0"/>
                <w:sz w:val="24"/>
                <w:szCs w:val="24"/>
              </w:rPr>
              <w:t xml:space="preserve">2. </w:t>
            </w:r>
            <w:r>
              <w:rPr>
                <w:rFonts w:hint="eastAsia" w:ascii="仿宋_GB2312" w:hAnsi="Calibri" w:eastAsia="仿宋_GB2312" w:cs="宋体"/>
                <w:color w:val="000000"/>
                <w:kern w:val="0"/>
                <w:sz w:val="24"/>
                <w:szCs w:val="24"/>
              </w:rPr>
              <w:t>对制度完善、人员管理、资产配置等的措施</w:t>
            </w:r>
          </w:p>
        </w:tc>
        <w:tc>
          <w:tcPr>
            <w:tcW w:w="3420" w:type="pct"/>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无</w:t>
            </w: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23" w:hRule="atLeast"/>
        </w:trPr>
        <w:tc>
          <w:tcPr>
            <w:tcW w:w="51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060" w:type="pct"/>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Calibri" w:hAnsi="Calibri" w:eastAsia="宋体" w:cs="宋体"/>
                <w:color w:val="000000"/>
                <w:kern w:val="0"/>
                <w:sz w:val="24"/>
                <w:szCs w:val="24"/>
              </w:rPr>
            </w:pPr>
            <w:r>
              <w:rPr>
                <w:rFonts w:ascii="Calibri" w:hAnsi="Calibri" w:eastAsia="宋体" w:cs="宋体"/>
                <w:color w:val="000000"/>
                <w:kern w:val="0"/>
                <w:sz w:val="24"/>
                <w:szCs w:val="24"/>
              </w:rPr>
              <w:t xml:space="preserve">3. </w:t>
            </w:r>
            <w:r>
              <w:rPr>
                <w:rFonts w:hint="eastAsia" w:ascii="仿宋_GB2312" w:hAnsi="Calibri" w:eastAsia="仿宋_GB2312" w:cs="宋体"/>
                <w:color w:val="000000"/>
                <w:kern w:val="0"/>
                <w:sz w:val="24"/>
                <w:szCs w:val="24"/>
              </w:rPr>
              <w:t>其他措施</w:t>
            </w:r>
          </w:p>
        </w:tc>
        <w:tc>
          <w:tcPr>
            <w:tcW w:w="3420" w:type="pct"/>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无</w:t>
            </w: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30" w:hRule="atLeast"/>
        </w:trPr>
        <w:tc>
          <w:tcPr>
            <w:tcW w:w="519" w:type="pct"/>
            <w:gridSpan w:val="2"/>
            <w:tcBorders>
              <w:top w:val="nil"/>
              <w:left w:val="single" w:color="auto" w:sz="8" w:space="0"/>
              <w:bottom w:val="single" w:color="auto" w:sz="8" w:space="0"/>
              <w:right w:val="single" w:color="000000" w:sz="8" w:space="0"/>
            </w:tcBorders>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　注</w:t>
            </w:r>
          </w:p>
        </w:tc>
        <w:tc>
          <w:tcPr>
            <w:tcW w:w="4480" w:type="pct"/>
            <w:gridSpan w:val="10"/>
            <w:tcBorders>
              <w:top w:val="nil"/>
              <w:left w:val="nil"/>
              <w:bottom w:val="single" w:color="auto" w:sz="8" w:space="0"/>
              <w:right w:val="single" w:color="000000" w:sz="8" w:space="0"/>
            </w:tcBorders>
            <w:shd w:val="clear" w:color="auto" w:fill="auto"/>
            <w:vAlign w:val="center"/>
          </w:tcPr>
          <w:p>
            <w:pPr>
              <w:widowControl/>
              <w:jc w:val="left"/>
              <w:rPr>
                <w:rFonts w:hint="eastAsia" w:ascii="Calibri" w:hAnsi="Calibri" w:eastAsia="宋体" w:cs="宋体"/>
                <w:color w:val="000000"/>
                <w:kern w:val="0"/>
                <w:sz w:val="24"/>
                <w:szCs w:val="24"/>
              </w:rPr>
            </w:pPr>
            <w:r>
              <w:rPr>
                <w:rFonts w:ascii="Calibri" w:hAnsi="Calibri" w:eastAsia="宋体" w:cs="宋体"/>
                <w:color w:val="000000"/>
                <w:kern w:val="0"/>
                <w:sz w:val="24"/>
                <w:szCs w:val="24"/>
              </w:rPr>
              <w:t>　</w:t>
            </w:r>
          </w:p>
        </w:tc>
      </w:tr>
    </w:tbl>
    <w:p>
      <w:pPr>
        <w:widowControl/>
        <w:jc w:val="left"/>
        <w:rPr>
          <w:rFonts w:ascii="黑体" w:hAnsi="Calibri" w:eastAsia="黑体" w:cs="Times New Roman"/>
          <w:sz w:val="32"/>
          <w:szCs w:val="32"/>
        </w:rPr>
      </w:pPr>
    </w:p>
    <w:p>
      <w:pPr>
        <w:widowControl/>
        <w:jc w:val="left"/>
        <w:rPr>
          <w:rFonts w:hint="eastAsia" w:ascii="黑体" w:hAnsi="Calibri" w:eastAsia="黑体" w:cs="Times New Roman"/>
          <w:sz w:val="32"/>
          <w:szCs w:val="32"/>
        </w:rPr>
      </w:pPr>
      <w:r>
        <w:rPr>
          <w:rFonts w:ascii="黑体" w:hAnsi="Calibri" w:eastAsia="黑体" w:cs="Times New Roman"/>
          <w:sz w:val="32"/>
          <w:szCs w:val="32"/>
        </w:rPr>
        <w:br w:type="page"/>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本部门2022年度国有资本经营预算财政拨款支出决算表无收支及结转结余情况，故国有资本经营预算财政拨款支出决算表以空表列示。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665480</wp:posOffset>
            </wp:positionH>
            <wp:positionV relativeFrom="margin">
              <wp:posOffset>6229350</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1"/>
                    <a:stretch>
                      <a:fillRect/>
                    </a:stretch>
                  </pic:blipFill>
                  <pic:spPr>
                    <a:xfrm>
                      <a:off x="0" y="0"/>
                      <a:ext cx="640080" cy="640080"/>
                    </a:xfrm>
                    <a:prstGeom prst="rect">
                      <a:avLst/>
                    </a:prstGeom>
                  </pic:spPr>
                </pic:pic>
              </a:graphicData>
            </a:graphic>
          </wp:anchor>
        </w:drawing>
      </w:r>
      <w:r>
        <w:rPr>
          <w:rFonts w:hint="eastAsia" w:ascii="仿宋_GB2312" w:hAnsi="宋体" w:eastAsia="仿宋_GB2312" w:cs="ArialUnicodeMS"/>
          <w:sz w:val="32"/>
          <w:szCs w:val="32"/>
        </w:rPr>
        <w:br w:type="page"/>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黑体"/>
    <w:panose1 w:val="00000000000000000000"/>
    <w:charset w:val="86"/>
    <w:family w:val="swiss"/>
    <w:pitch w:val="default"/>
    <w:sig w:usb0="00000000" w:usb1="00000000" w:usb2="00000016" w:usb3="00000000" w:csb0="00060107" w:csb1="00000000"/>
  </w:font>
  <w:font w:name="思源黑体 CN Bold">
    <w:altName w:val="黑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C25D8"/>
    <w:multiLevelType w:val="singleLevel"/>
    <w:tmpl w:val="F3FC25D8"/>
    <w:lvl w:ilvl="0" w:tentative="0">
      <w:start w:val="2"/>
      <w:numFmt w:val="decimal"/>
      <w:suff w:val="nothing"/>
      <w:lvlText w:val="%1、"/>
      <w:lvlJc w:val="left"/>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7E08C2E"/>
    <w:multiLevelType w:val="singleLevel"/>
    <w:tmpl w:val="47E08C2E"/>
    <w:lvl w:ilvl="0" w:tentative="0">
      <w:start w:val="1"/>
      <w:numFmt w:val="chineseCounting"/>
      <w:suff w:val="nothing"/>
      <w:lvlText w:val="%1、"/>
      <w:lvlJc w:val="left"/>
      <w:rPr>
        <w:rFonts w:hint="eastAsia"/>
      </w:rPr>
    </w:lvl>
  </w:abstractNum>
  <w:abstractNum w:abstractNumId="3">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4">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M1LCJoZGlkIjoiZGRlMDFhMDY2MGU1OWI3MGM0OWZiMDI3ODU5YjY3YWYiLCJ1c2VyQ291bnQiOjF9"/>
  </w:docVars>
  <w:rsids>
    <w:rsidRoot w:val="00172A27"/>
    <w:rsid w:val="000031F7"/>
    <w:rsid w:val="00014862"/>
    <w:rsid w:val="00090A97"/>
    <w:rsid w:val="00112ACD"/>
    <w:rsid w:val="00144CC5"/>
    <w:rsid w:val="00172A27"/>
    <w:rsid w:val="001F3ADA"/>
    <w:rsid w:val="00203288"/>
    <w:rsid w:val="00262CE0"/>
    <w:rsid w:val="0027246F"/>
    <w:rsid w:val="002914A2"/>
    <w:rsid w:val="002C2C3F"/>
    <w:rsid w:val="00310221"/>
    <w:rsid w:val="0034600F"/>
    <w:rsid w:val="00366EA1"/>
    <w:rsid w:val="004550B9"/>
    <w:rsid w:val="004559FD"/>
    <w:rsid w:val="004662B9"/>
    <w:rsid w:val="00473A26"/>
    <w:rsid w:val="004A7D4C"/>
    <w:rsid w:val="004D1145"/>
    <w:rsid w:val="004E274E"/>
    <w:rsid w:val="004F23D0"/>
    <w:rsid w:val="004F5E71"/>
    <w:rsid w:val="005033B7"/>
    <w:rsid w:val="0051575E"/>
    <w:rsid w:val="00522C51"/>
    <w:rsid w:val="00527946"/>
    <w:rsid w:val="00550130"/>
    <w:rsid w:val="005B2633"/>
    <w:rsid w:val="00657113"/>
    <w:rsid w:val="00663586"/>
    <w:rsid w:val="0068420C"/>
    <w:rsid w:val="006C5D6E"/>
    <w:rsid w:val="007042CC"/>
    <w:rsid w:val="00757732"/>
    <w:rsid w:val="00786182"/>
    <w:rsid w:val="007B4464"/>
    <w:rsid w:val="00855E47"/>
    <w:rsid w:val="00896712"/>
    <w:rsid w:val="008C15D3"/>
    <w:rsid w:val="008E5668"/>
    <w:rsid w:val="0093782E"/>
    <w:rsid w:val="00951517"/>
    <w:rsid w:val="009718A8"/>
    <w:rsid w:val="009D7927"/>
    <w:rsid w:val="009E6461"/>
    <w:rsid w:val="009F2E6D"/>
    <w:rsid w:val="00A66109"/>
    <w:rsid w:val="00AA44FC"/>
    <w:rsid w:val="00B15320"/>
    <w:rsid w:val="00B86E38"/>
    <w:rsid w:val="00BE7649"/>
    <w:rsid w:val="00C21492"/>
    <w:rsid w:val="00C418F5"/>
    <w:rsid w:val="00CE4C2D"/>
    <w:rsid w:val="00CE755E"/>
    <w:rsid w:val="00CF13CA"/>
    <w:rsid w:val="00D264B9"/>
    <w:rsid w:val="00D71400"/>
    <w:rsid w:val="00DA0719"/>
    <w:rsid w:val="00DA0B17"/>
    <w:rsid w:val="00DE4245"/>
    <w:rsid w:val="00DF42C4"/>
    <w:rsid w:val="00DF688D"/>
    <w:rsid w:val="00E23F12"/>
    <w:rsid w:val="00E35F22"/>
    <w:rsid w:val="00E40650"/>
    <w:rsid w:val="00E44B04"/>
    <w:rsid w:val="00E45243"/>
    <w:rsid w:val="00E57285"/>
    <w:rsid w:val="00E669B9"/>
    <w:rsid w:val="00E818B1"/>
    <w:rsid w:val="00E86E79"/>
    <w:rsid w:val="00F07F81"/>
    <w:rsid w:val="00F242CA"/>
    <w:rsid w:val="00FA0AC6"/>
    <w:rsid w:val="00FC3F68"/>
    <w:rsid w:val="00FF453A"/>
    <w:rsid w:val="012F2443"/>
    <w:rsid w:val="018E53BB"/>
    <w:rsid w:val="01A515AD"/>
    <w:rsid w:val="01B752BF"/>
    <w:rsid w:val="01D6466C"/>
    <w:rsid w:val="01EC0334"/>
    <w:rsid w:val="02F2691F"/>
    <w:rsid w:val="031F3DF1"/>
    <w:rsid w:val="046A46B1"/>
    <w:rsid w:val="05273E55"/>
    <w:rsid w:val="0596707A"/>
    <w:rsid w:val="05B11678"/>
    <w:rsid w:val="05D62E8D"/>
    <w:rsid w:val="05F108C4"/>
    <w:rsid w:val="06147505"/>
    <w:rsid w:val="065B3392"/>
    <w:rsid w:val="06AA5D6B"/>
    <w:rsid w:val="06C764CB"/>
    <w:rsid w:val="06EB1AB6"/>
    <w:rsid w:val="071961D6"/>
    <w:rsid w:val="07A0211C"/>
    <w:rsid w:val="07C66DAC"/>
    <w:rsid w:val="085D7896"/>
    <w:rsid w:val="099D6B31"/>
    <w:rsid w:val="09FD66D9"/>
    <w:rsid w:val="0B386398"/>
    <w:rsid w:val="0B4B1C27"/>
    <w:rsid w:val="0BDE0CED"/>
    <w:rsid w:val="0C012C2E"/>
    <w:rsid w:val="0CC52DB8"/>
    <w:rsid w:val="0D735465"/>
    <w:rsid w:val="0DBF4B4E"/>
    <w:rsid w:val="0E9B4C74"/>
    <w:rsid w:val="0EB43F87"/>
    <w:rsid w:val="0F522C33"/>
    <w:rsid w:val="0FF94348"/>
    <w:rsid w:val="10B242CF"/>
    <w:rsid w:val="118B77D4"/>
    <w:rsid w:val="119A56B6"/>
    <w:rsid w:val="11F4604E"/>
    <w:rsid w:val="129544D7"/>
    <w:rsid w:val="129774CE"/>
    <w:rsid w:val="1324792E"/>
    <w:rsid w:val="13394A5B"/>
    <w:rsid w:val="136D16FB"/>
    <w:rsid w:val="13AA21BF"/>
    <w:rsid w:val="13C06F2A"/>
    <w:rsid w:val="14DA3AF3"/>
    <w:rsid w:val="1624014B"/>
    <w:rsid w:val="168129A1"/>
    <w:rsid w:val="16A3500D"/>
    <w:rsid w:val="17746877"/>
    <w:rsid w:val="18722EE9"/>
    <w:rsid w:val="19191973"/>
    <w:rsid w:val="19792055"/>
    <w:rsid w:val="1A3D2C72"/>
    <w:rsid w:val="1B18764C"/>
    <w:rsid w:val="1B6D70F6"/>
    <w:rsid w:val="1BE063BC"/>
    <w:rsid w:val="1C6C5EA1"/>
    <w:rsid w:val="1C99656B"/>
    <w:rsid w:val="1CF05FF3"/>
    <w:rsid w:val="1E750DCE"/>
    <w:rsid w:val="1F8D7E3C"/>
    <w:rsid w:val="20007E3B"/>
    <w:rsid w:val="2133349C"/>
    <w:rsid w:val="216937C4"/>
    <w:rsid w:val="220A23E4"/>
    <w:rsid w:val="22A04AF7"/>
    <w:rsid w:val="22DD5403"/>
    <w:rsid w:val="24082A8D"/>
    <w:rsid w:val="243554A0"/>
    <w:rsid w:val="26B96187"/>
    <w:rsid w:val="26E91BBE"/>
    <w:rsid w:val="26F62F37"/>
    <w:rsid w:val="27D243B9"/>
    <w:rsid w:val="28D92B11"/>
    <w:rsid w:val="296856CA"/>
    <w:rsid w:val="298605CB"/>
    <w:rsid w:val="2A185772"/>
    <w:rsid w:val="2A9E191C"/>
    <w:rsid w:val="2B6D57DA"/>
    <w:rsid w:val="2BD33847"/>
    <w:rsid w:val="2C1A1476"/>
    <w:rsid w:val="2CEF036C"/>
    <w:rsid w:val="2DBA493C"/>
    <w:rsid w:val="2EA65243"/>
    <w:rsid w:val="30A25EDE"/>
    <w:rsid w:val="30C419B0"/>
    <w:rsid w:val="31F167D5"/>
    <w:rsid w:val="3267118D"/>
    <w:rsid w:val="327D450D"/>
    <w:rsid w:val="32A31C4C"/>
    <w:rsid w:val="32B53CA7"/>
    <w:rsid w:val="330D3AE3"/>
    <w:rsid w:val="33634ED9"/>
    <w:rsid w:val="33CD2241"/>
    <w:rsid w:val="344A2B14"/>
    <w:rsid w:val="34967CFD"/>
    <w:rsid w:val="352944D8"/>
    <w:rsid w:val="358160C2"/>
    <w:rsid w:val="367A1040"/>
    <w:rsid w:val="36D851E7"/>
    <w:rsid w:val="37384EA6"/>
    <w:rsid w:val="384D2BD3"/>
    <w:rsid w:val="388F42DB"/>
    <w:rsid w:val="39513F13"/>
    <w:rsid w:val="39C2416B"/>
    <w:rsid w:val="3A301BD6"/>
    <w:rsid w:val="3AAA1C17"/>
    <w:rsid w:val="3ACF78CF"/>
    <w:rsid w:val="3B1F2605"/>
    <w:rsid w:val="3B2B2593"/>
    <w:rsid w:val="3B744E3E"/>
    <w:rsid w:val="3B862684"/>
    <w:rsid w:val="3D78424E"/>
    <w:rsid w:val="3DC91A1B"/>
    <w:rsid w:val="3DD37B55"/>
    <w:rsid w:val="3F235BB1"/>
    <w:rsid w:val="3F4E170B"/>
    <w:rsid w:val="3F663581"/>
    <w:rsid w:val="40E8793D"/>
    <w:rsid w:val="419B49AF"/>
    <w:rsid w:val="41DF489C"/>
    <w:rsid w:val="42A44BF6"/>
    <w:rsid w:val="430D5439"/>
    <w:rsid w:val="432F1853"/>
    <w:rsid w:val="444A7FC7"/>
    <w:rsid w:val="4571549B"/>
    <w:rsid w:val="45AB23A5"/>
    <w:rsid w:val="46101B35"/>
    <w:rsid w:val="4642189D"/>
    <w:rsid w:val="471274FD"/>
    <w:rsid w:val="47D53BBE"/>
    <w:rsid w:val="484C255F"/>
    <w:rsid w:val="48D367DD"/>
    <w:rsid w:val="491A265E"/>
    <w:rsid w:val="496B110B"/>
    <w:rsid w:val="49717ADD"/>
    <w:rsid w:val="4983695B"/>
    <w:rsid w:val="4A51609B"/>
    <w:rsid w:val="4B2C26AF"/>
    <w:rsid w:val="4B5C483F"/>
    <w:rsid w:val="4B685902"/>
    <w:rsid w:val="4C194D3B"/>
    <w:rsid w:val="4C6B4F7E"/>
    <w:rsid w:val="4CAE1A3B"/>
    <w:rsid w:val="4D304C6C"/>
    <w:rsid w:val="4D8E361A"/>
    <w:rsid w:val="4DE4323A"/>
    <w:rsid w:val="4F0040A4"/>
    <w:rsid w:val="4F2A6A41"/>
    <w:rsid w:val="500373A2"/>
    <w:rsid w:val="5074066B"/>
    <w:rsid w:val="507C6383"/>
    <w:rsid w:val="50DD3A91"/>
    <w:rsid w:val="51491D32"/>
    <w:rsid w:val="51C15D6C"/>
    <w:rsid w:val="534F73A8"/>
    <w:rsid w:val="53AD746D"/>
    <w:rsid w:val="556709D9"/>
    <w:rsid w:val="561769D4"/>
    <w:rsid w:val="56260894"/>
    <w:rsid w:val="573F74BB"/>
    <w:rsid w:val="57831D16"/>
    <w:rsid w:val="57EB2E73"/>
    <w:rsid w:val="58D844B0"/>
    <w:rsid w:val="5B6D0D13"/>
    <w:rsid w:val="5BF63C0C"/>
    <w:rsid w:val="5BFB00CD"/>
    <w:rsid w:val="5C6E089F"/>
    <w:rsid w:val="5C7E2FC7"/>
    <w:rsid w:val="5CD86B67"/>
    <w:rsid w:val="5E2558D5"/>
    <w:rsid w:val="5F134347"/>
    <w:rsid w:val="5F4A1A8C"/>
    <w:rsid w:val="5F8108E9"/>
    <w:rsid w:val="5FF05A6E"/>
    <w:rsid w:val="60075621"/>
    <w:rsid w:val="602001C2"/>
    <w:rsid w:val="60CE32E1"/>
    <w:rsid w:val="612B3202"/>
    <w:rsid w:val="61390AF2"/>
    <w:rsid w:val="61C50EC7"/>
    <w:rsid w:val="62D60F4C"/>
    <w:rsid w:val="648A0240"/>
    <w:rsid w:val="64C00985"/>
    <w:rsid w:val="65225D26"/>
    <w:rsid w:val="657A5AE9"/>
    <w:rsid w:val="65AC2438"/>
    <w:rsid w:val="65DB5CBA"/>
    <w:rsid w:val="67254250"/>
    <w:rsid w:val="674E6C15"/>
    <w:rsid w:val="67636EEB"/>
    <w:rsid w:val="67C25F42"/>
    <w:rsid w:val="68B8344B"/>
    <w:rsid w:val="697609B2"/>
    <w:rsid w:val="69BB533F"/>
    <w:rsid w:val="69F4671F"/>
    <w:rsid w:val="6A6432E1"/>
    <w:rsid w:val="6A7D0C4F"/>
    <w:rsid w:val="6B267ECB"/>
    <w:rsid w:val="6BA53F12"/>
    <w:rsid w:val="6C845EBC"/>
    <w:rsid w:val="6CBF282C"/>
    <w:rsid w:val="6E262643"/>
    <w:rsid w:val="6EAA247C"/>
    <w:rsid w:val="6EE67581"/>
    <w:rsid w:val="6F03756C"/>
    <w:rsid w:val="6F084B83"/>
    <w:rsid w:val="6F775864"/>
    <w:rsid w:val="6F7A21F2"/>
    <w:rsid w:val="70235487"/>
    <w:rsid w:val="712B2DAA"/>
    <w:rsid w:val="72281098"/>
    <w:rsid w:val="723D2D95"/>
    <w:rsid w:val="72FC67AC"/>
    <w:rsid w:val="73335BEE"/>
    <w:rsid w:val="734B3BFA"/>
    <w:rsid w:val="736D3206"/>
    <w:rsid w:val="73753308"/>
    <w:rsid w:val="73A15AAC"/>
    <w:rsid w:val="73AB1F81"/>
    <w:rsid w:val="743D707D"/>
    <w:rsid w:val="75D237F5"/>
    <w:rsid w:val="763A6DBD"/>
    <w:rsid w:val="765B1A3C"/>
    <w:rsid w:val="76DF3444"/>
    <w:rsid w:val="7789457D"/>
    <w:rsid w:val="77A53EB4"/>
    <w:rsid w:val="786A240A"/>
    <w:rsid w:val="78760DAF"/>
    <w:rsid w:val="78FB1FB4"/>
    <w:rsid w:val="79442C5B"/>
    <w:rsid w:val="79F503F9"/>
    <w:rsid w:val="7A664E53"/>
    <w:rsid w:val="7B8A03EF"/>
    <w:rsid w:val="7B8E01BE"/>
    <w:rsid w:val="7B913DFC"/>
    <w:rsid w:val="7BB011B5"/>
    <w:rsid w:val="7C2A2F43"/>
    <w:rsid w:val="7CDE5175"/>
    <w:rsid w:val="7D6A4C5A"/>
    <w:rsid w:val="7EAD450C"/>
    <w:rsid w:val="7F783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index 9"/>
    <w:basedOn w:val="1"/>
    <w:next w:val="1"/>
    <w:autoRedefine/>
    <w:qFormat/>
    <w:uiPriority w:val="0"/>
    <w:pPr>
      <w:ind w:left="3360"/>
      <w:jc w:val="left"/>
    </w:pPr>
    <w:rPr>
      <w:rFonts w:ascii="Calibri" w:hAnsi="Calibri"/>
    </w:rPr>
  </w:style>
  <w:style w:type="paragraph" w:styleId="4">
    <w:name w:val="Balloon Text"/>
    <w:basedOn w:val="1"/>
    <w:link w:val="19"/>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7">
    <w:name w:val="Normal (Web)"/>
    <w:next w:val="1"/>
    <w:autoRedefine/>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table" w:styleId="9">
    <w:name w:val="Table Grid"/>
    <w:autoRedefine/>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脚 字符"/>
    <w:basedOn w:val="10"/>
    <w:link w:val="5"/>
    <w:qFormat/>
    <w:uiPriority w:val="0"/>
    <w:rPr>
      <w:kern w:val="2"/>
      <w:sz w:val="18"/>
      <w:szCs w:val="18"/>
    </w:rPr>
  </w:style>
  <w:style w:type="character" w:customStyle="1" w:styleId="12">
    <w:name w:val="页眉 字符"/>
    <w:basedOn w:val="10"/>
    <w:link w:val="6"/>
    <w:qFormat/>
    <w:uiPriority w:val="0"/>
    <w:rPr>
      <w:kern w:val="2"/>
      <w:sz w:val="18"/>
      <w:szCs w:val="18"/>
    </w:rPr>
  </w:style>
  <w:style w:type="character" w:customStyle="1" w:styleId="13">
    <w:name w:val="font11"/>
    <w:basedOn w:val="10"/>
    <w:autoRedefine/>
    <w:qFormat/>
    <w:uiPriority w:val="0"/>
    <w:rPr>
      <w:rFonts w:hint="eastAsia" w:ascii="宋体" w:hAnsi="宋体" w:eastAsia="宋体" w:cs="宋体"/>
      <w:color w:val="000000"/>
      <w:sz w:val="20"/>
      <w:szCs w:val="20"/>
      <w:u w:val="none"/>
    </w:rPr>
  </w:style>
  <w:style w:type="character" w:customStyle="1" w:styleId="14">
    <w:name w:val="font01"/>
    <w:basedOn w:val="10"/>
    <w:autoRedefine/>
    <w:qFormat/>
    <w:uiPriority w:val="0"/>
    <w:rPr>
      <w:rFonts w:hint="eastAsia" w:ascii="宋体" w:hAnsi="宋体" w:eastAsia="宋体" w:cs="宋体"/>
      <w:color w:val="000000"/>
      <w:sz w:val="22"/>
      <w:szCs w:val="22"/>
      <w:u w:val="none"/>
    </w:rPr>
  </w:style>
  <w:style w:type="character" w:customStyle="1" w:styleId="15">
    <w:name w:val="font41"/>
    <w:basedOn w:val="10"/>
    <w:autoRedefine/>
    <w:qFormat/>
    <w:uiPriority w:val="0"/>
    <w:rPr>
      <w:rFonts w:hint="eastAsia" w:ascii="宋体" w:hAnsi="宋体" w:eastAsia="宋体" w:cs="宋体"/>
      <w:color w:val="000000"/>
      <w:sz w:val="24"/>
      <w:szCs w:val="24"/>
      <w:u w:val="none"/>
    </w:rPr>
  </w:style>
  <w:style w:type="character" w:customStyle="1" w:styleId="16">
    <w:name w:val="font31"/>
    <w:basedOn w:val="10"/>
    <w:autoRedefine/>
    <w:qFormat/>
    <w:uiPriority w:val="0"/>
    <w:rPr>
      <w:rFonts w:hint="eastAsia" w:ascii="华文中宋" w:hAnsi="华文中宋" w:eastAsia="华文中宋" w:cs="华文中宋"/>
      <w:color w:val="000000"/>
      <w:sz w:val="32"/>
      <w:szCs w:val="32"/>
      <w:u w:val="none"/>
    </w:rPr>
  </w:style>
  <w:style w:type="character" w:customStyle="1" w:styleId="17">
    <w:name w:val="font91"/>
    <w:basedOn w:val="10"/>
    <w:autoRedefine/>
    <w:qFormat/>
    <w:uiPriority w:val="0"/>
    <w:rPr>
      <w:rFonts w:hint="eastAsia" w:ascii="华文中宋" w:hAnsi="华文中宋" w:eastAsia="华文中宋" w:cs="华文中宋"/>
      <w:color w:val="000000"/>
      <w:sz w:val="32"/>
      <w:szCs w:val="32"/>
      <w:u w:val="none"/>
    </w:rPr>
  </w:style>
  <w:style w:type="character" w:customStyle="1" w:styleId="18">
    <w:name w:val="font51"/>
    <w:basedOn w:val="10"/>
    <w:autoRedefine/>
    <w:qFormat/>
    <w:uiPriority w:val="0"/>
    <w:rPr>
      <w:rFonts w:hint="eastAsia" w:ascii="宋体" w:hAnsi="宋体" w:eastAsia="宋体" w:cs="宋体"/>
      <w:color w:val="000000"/>
      <w:sz w:val="24"/>
      <w:szCs w:val="24"/>
      <w:u w:val="none"/>
    </w:rPr>
  </w:style>
  <w:style w:type="character" w:customStyle="1" w:styleId="19">
    <w:name w:val="批注框文本 字符"/>
    <w:basedOn w:val="10"/>
    <w:link w:val="4"/>
    <w:autoRedefine/>
    <w:semiHidden/>
    <w:qFormat/>
    <w:uiPriority w:val="99"/>
    <w:rPr>
      <w:kern w:val="2"/>
      <w:sz w:val="18"/>
      <w:szCs w:val="18"/>
    </w:rPr>
  </w:style>
  <w:style w:type="character" w:customStyle="1" w:styleId="20">
    <w:name w:val="font171"/>
    <w:autoRedefine/>
    <w:qFormat/>
    <w:uiPriority w:val="0"/>
    <w:rPr>
      <w:rFonts w:ascii="仿宋_GB2312" w:eastAsia="仿宋_GB2312" w:cs="仿宋_GB2312"/>
      <w:color w:val="000000"/>
      <w:sz w:val="18"/>
      <w:szCs w:val="18"/>
      <w:u w:val="none"/>
    </w:rPr>
  </w:style>
  <w:style w:type="character" w:customStyle="1" w:styleId="21">
    <w:name w:val="font61"/>
    <w:basedOn w:val="10"/>
    <w:autoRedefine/>
    <w:qFormat/>
    <w:uiPriority w:val="0"/>
    <w:rPr>
      <w:rFonts w:hint="default" w:ascii="Calibri" w:hAnsi="Calibri" w:cs="Calibri"/>
      <w:color w:val="000000"/>
      <w:sz w:val="18"/>
      <w:szCs w:val="18"/>
      <w:u w:val="none"/>
    </w:rPr>
  </w:style>
  <w:style w:type="character" w:customStyle="1" w:styleId="22">
    <w:name w:val="font71"/>
    <w:basedOn w:val="10"/>
    <w:autoRedefine/>
    <w:qFormat/>
    <w:uiPriority w:val="0"/>
    <w:rPr>
      <w:rFonts w:hint="default" w:ascii="Calibri" w:hAnsi="Calibri" w:cs="Calibri"/>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8.png"/><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2021-2022</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75665.82</c:v>
                </c:pt>
                <c:pt idx="1">
                  <c:v>27932.28</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max val="80000"/>
          <c:min val="0"/>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minorUnit val="5000"/>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支出决算构成情况（图</a:t>
            </a:r>
            <a:r>
              <a:rPr lang="en-US" altLang="zh-CN"/>
              <a:t>3</a:t>
            </a:r>
            <a:r>
              <a:t>）</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522250827510114"/>
          <c:y val="0.173825050595907"/>
          <c:w val="0.919087899963222"/>
          <c:h val="0.676635934337756"/>
        </c:manualLayout>
      </c:layout>
      <c:pie3DChart>
        <c:varyColors val="1"/>
        <c:ser>
          <c:idx val="0"/>
          <c:order val="0"/>
          <c:tx>
            <c:strRef>
              <c:f>Sheet1!$B$1</c:f>
              <c:strCache>
                <c:ptCount val="1"/>
                <c:pt idx="0">
                  <c:v>金额</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delete val="1"/>
          </c:dLbls>
          <c:cat>
            <c:strRef>
              <c:f>Sheet1!$A$2:$A$3</c:f>
              <c:strCache>
                <c:ptCount val="2"/>
                <c:pt idx="0">
                  <c:v>基本支出</c:v>
                </c:pt>
                <c:pt idx="1">
                  <c:v>项目支出</c:v>
                </c:pt>
              </c:strCache>
            </c:strRef>
          </c:cat>
          <c:val>
            <c:numRef>
              <c:f>Sheet1!$B$2:$B$3</c:f>
              <c:numCache>
                <c:formatCode>General</c:formatCode>
                <c:ptCount val="2"/>
                <c:pt idx="0">
                  <c:v>2304.47</c:v>
                </c:pt>
                <c:pt idx="1">
                  <c:v>25327.65</c:v>
                </c:pt>
              </c:numCache>
            </c:numRef>
          </c:val>
        </c:ser>
        <c:dLbls>
          <c:showLegendKey val="0"/>
          <c:showVal val="0"/>
          <c:showCatName val="0"/>
          <c:showSerName val="0"/>
          <c:showPercent val="0"/>
          <c:showBubbleSize val="0"/>
        </c:dLbls>
      </c:pie3DChart>
      <c:spPr>
        <a:noFill/>
        <a:ln>
          <a:noFill/>
        </a:ln>
        <a:effectLst/>
      </c:spPr>
    </c:plotArea>
    <c:legend>
      <c:legendPos val="b"/>
      <c:layout>
        <c:manualLayout>
          <c:xMode val="edge"/>
          <c:yMode val="edge"/>
          <c:x val="0.352678571428571"/>
          <c:y val="0.82531645569620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2021-2022</a:t>
            </a:r>
            <a:r>
              <a:rPr altLang="en-US"/>
              <a:t>年度财政拨款收支对比图</a:t>
            </a:r>
            <a:endParaRPr altLang="en-US"/>
          </a:p>
        </c:rich>
      </c:tx>
      <c:layout/>
      <c:overlay val="0"/>
      <c:spPr>
        <a:noFill/>
        <a:ln>
          <a:noFill/>
        </a:ln>
        <a:effectLst/>
      </c:spPr>
    </c:title>
    <c:autoTitleDeleted val="0"/>
    <c:plotArea>
      <c:layout>
        <c:manualLayout>
          <c:layoutTarget val="inner"/>
          <c:xMode val="edge"/>
          <c:yMode val="edge"/>
          <c:x val="0.0934099066762383"/>
          <c:y val="0.264561115668581"/>
          <c:w val="0.864953338119167"/>
          <c:h val="0.651025430680886"/>
        </c:manualLayout>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delete val="1"/>
          </c:dLbls>
          <c:cat>
            <c:strRef>
              <c:f>Sheet1!$A$4:$A$6</c:f>
              <c:strCache>
                <c:ptCount val="3"/>
                <c:pt idx="0">
                  <c:v>一般公共预算拨款收入</c:v>
                </c:pt>
                <c:pt idx="1">
                  <c:v>一般公共预算拨款支出</c:v>
                </c:pt>
                <c:pt idx="2">
                  <c:v>政府性基金拨款收入</c:v>
                </c:pt>
              </c:strCache>
            </c:strRef>
          </c:cat>
          <c:val>
            <c:numRef>
              <c:f>Sheet1!$B$4:$B$6</c:f>
              <c:numCache>
                <c:formatCode>General</c:formatCode>
                <c:ptCount val="3"/>
                <c:pt idx="0">
                  <c:v>4712.87</c:v>
                </c:pt>
                <c:pt idx="1">
                  <c:v>4796.01</c:v>
                </c:pt>
                <c:pt idx="2">
                  <c:v>62425</c:v>
                </c:pt>
              </c:numCache>
            </c:numRef>
          </c:val>
        </c:ser>
        <c:ser>
          <c:idx val="1"/>
          <c:order val="1"/>
          <c:tx>
            <c:strRef>
              <c:f>Sheet1!$C$1</c:f>
              <c:strCache>
                <c:ptCount val="1"/>
                <c:pt idx="0">
                  <c:v>2022</c:v>
                </c:pt>
              </c:strCache>
            </c:strRef>
          </c:tx>
          <c:spPr>
            <a:solidFill>
              <a:schemeClr val="accent2"/>
            </a:solidFill>
            <a:ln>
              <a:noFill/>
            </a:ln>
            <a:effectLst/>
          </c:spPr>
          <c:invertIfNegative val="0"/>
          <c:dLbls>
            <c:delete val="1"/>
          </c:dLbls>
          <c:cat>
            <c:strRef>
              <c:f>Sheet1!$A$4:$A$6</c:f>
              <c:strCache>
                <c:ptCount val="3"/>
                <c:pt idx="0">
                  <c:v>一般公共预算拨款收入</c:v>
                </c:pt>
                <c:pt idx="1">
                  <c:v>一般公共预算拨款支出</c:v>
                </c:pt>
                <c:pt idx="2">
                  <c:v>政府性基金拨款收入</c:v>
                </c:pt>
              </c:strCache>
            </c:strRef>
          </c:cat>
          <c:val>
            <c:numRef>
              <c:f>Sheet1!$C$4:$C$6</c:f>
              <c:numCache>
                <c:formatCode>General</c:formatCode>
                <c:ptCount val="3"/>
                <c:pt idx="0">
                  <c:v>3443.81</c:v>
                </c:pt>
                <c:pt idx="1">
                  <c:v>3443.81</c:v>
                </c:pt>
                <c:pt idx="2">
                  <c:v>10486.54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Sheet1!$A$4:$A$6</c:f>
              <c:strCache>
                <c:ptCount val="3"/>
                <c:pt idx="0">
                  <c:v>一般公共预算拨款收入</c:v>
                </c:pt>
                <c:pt idx="1">
                  <c:v>一般公共预算拨款支出</c:v>
                </c:pt>
                <c:pt idx="2">
                  <c:v>政府性基金拨款收入</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33720487"/>
        <c:axId val="73061263"/>
      </c:barChart>
      <c:catAx>
        <c:axId val="1337204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061263"/>
        <c:crosses val="autoZero"/>
        <c:auto val="1"/>
        <c:lblAlgn val="ctr"/>
        <c:lblOffset val="100"/>
        <c:noMultiLvlLbl val="0"/>
      </c:catAx>
      <c:valAx>
        <c:axId val="730612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720487"/>
        <c:crosses val="autoZero"/>
        <c:crossBetween val="between"/>
      </c:valAx>
      <c:spPr>
        <a:noFill/>
        <a:ln>
          <a:noFill/>
        </a:ln>
        <a:effectLst/>
      </c:spPr>
    </c:plotArea>
    <c:legend>
      <c:legendPos val="b"/>
      <c:legendEntry>
        <c:idx val="2"/>
        <c:delete val="1"/>
      </c:legendEntry>
      <c:layout>
        <c:manualLayout>
          <c:xMode val="edge"/>
          <c:yMode val="edge"/>
          <c:x val="0.390380473797559"/>
          <c:y val="0.1397205588822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年财政拨款收支与预算对比图</a:t>
            </a:r>
            <a:endParaRPr altLang="en-US"/>
          </a:p>
        </c:rich>
      </c:tx>
      <c:layout/>
      <c:overlay val="0"/>
      <c:spPr>
        <a:noFill/>
        <a:ln>
          <a:noFill/>
        </a:ln>
        <a:effectLst/>
      </c:spPr>
    </c:title>
    <c:autoTitleDeleted val="0"/>
    <c:plotArea>
      <c:layout>
        <c:manualLayout>
          <c:layoutTarget val="inner"/>
          <c:xMode val="edge"/>
          <c:yMode val="edge"/>
          <c:x val="0.091325"/>
          <c:y val="0.150666666666667"/>
          <c:w val="0.882425"/>
          <c:h val="0.4679"/>
        </c:manualLayout>
      </c:layout>
      <c:barChart>
        <c:barDir val="col"/>
        <c:grouping val="clustered"/>
        <c:varyColors val="0"/>
        <c:ser>
          <c:idx val="0"/>
          <c:order val="0"/>
          <c:tx>
            <c:strRef>
              <c:f>Sheet1!$B$1</c:f>
              <c:strCache>
                <c:ptCount val="1"/>
                <c:pt idx="0">
                  <c:v>预算数</c:v>
                </c:pt>
              </c:strCache>
            </c:strRef>
          </c:tx>
          <c:spPr>
            <a:solidFill>
              <a:schemeClr val="accent1"/>
            </a:solidFill>
            <a:ln>
              <a:noFill/>
            </a:ln>
            <a:effectLst/>
          </c:spPr>
          <c:invertIfNegative val="0"/>
          <c:dLbls>
            <c:delete val="1"/>
          </c:dLbls>
          <c:cat>
            <c:strRef>
              <c:f>Sheet1!$A$2:$A$5</c:f>
              <c:strCache>
                <c:ptCount val="4"/>
                <c:pt idx="0">
                  <c:v>财政拨款收入</c:v>
                </c:pt>
                <c:pt idx="1">
                  <c:v>财政拨款支出</c:v>
                </c:pt>
                <c:pt idx="2">
                  <c:v>一般公共预算财政拨款收入</c:v>
                </c:pt>
                <c:pt idx="3">
                  <c:v>一般公共预算财政拨款支出</c:v>
                </c:pt>
              </c:strCache>
            </c:strRef>
          </c:cat>
          <c:val>
            <c:numRef>
              <c:f>Sheet1!$B$2:$B$5</c:f>
              <c:numCache>
                <c:formatCode>General</c:formatCode>
                <c:ptCount val="4"/>
                <c:pt idx="0">
                  <c:v>39367.14</c:v>
                </c:pt>
                <c:pt idx="1">
                  <c:v>39367.14</c:v>
                </c:pt>
                <c:pt idx="2">
                  <c:v>4367.14</c:v>
                </c:pt>
                <c:pt idx="3">
                  <c:v>4367.14</c:v>
                </c:pt>
              </c:numCache>
            </c:numRef>
          </c:val>
        </c:ser>
        <c:ser>
          <c:idx val="1"/>
          <c:order val="1"/>
          <c:tx>
            <c:strRef>
              <c:f>Sheet1!$C$1</c:f>
              <c:strCache>
                <c:ptCount val="1"/>
                <c:pt idx="0">
                  <c:v>决算数</c:v>
                </c:pt>
              </c:strCache>
            </c:strRef>
          </c:tx>
          <c:spPr>
            <a:solidFill>
              <a:schemeClr val="accent2"/>
            </a:solidFill>
            <a:ln>
              <a:noFill/>
            </a:ln>
            <a:effectLst/>
          </c:spPr>
          <c:invertIfNegative val="0"/>
          <c:dLbls>
            <c:delete val="1"/>
          </c:dLbls>
          <c:cat>
            <c:strRef>
              <c:f>Sheet1!$A$2:$A$5</c:f>
              <c:strCache>
                <c:ptCount val="4"/>
                <c:pt idx="0">
                  <c:v>财政拨款收入</c:v>
                </c:pt>
                <c:pt idx="1">
                  <c:v>财政拨款支出</c:v>
                </c:pt>
                <c:pt idx="2">
                  <c:v>一般公共预算财政拨款收入</c:v>
                </c:pt>
                <c:pt idx="3">
                  <c:v>一般公共预算财政拨款支出</c:v>
                </c:pt>
              </c:strCache>
            </c:strRef>
          </c:cat>
          <c:val>
            <c:numRef>
              <c:f>Sheet1!$C$2:$C$5</c:f>
              <c:numCache>
                <c:formatCode>General</c:formatCode>
                <c:ptCount val="4"/>
                <c:pt idx="0">
                  <c:v>13930.35</c:v>
                </c:pt>
                <c:pt idx="1">
                  <c:v>27632.13</c:v>
                </c:pt>
                <c:pt idx="2">
                  <c:v>3443.81</c:v>
                </c:pt>
                <c:pt idx="3">
                  <c:v>3443.81</c:v>
                </c:pt>
              </c:numCache>
            </c:numRef>
          </c:val>
        </c:ser>
        <c:dLbls>
          <c:showLegendKey val="0"/>
          <c:showVal val="0"/>
          <c:showCatName val="0"/>
          <c:showSerName val="0"/>
          <c:showPercent val="0"/>
          <c:showBubbleSize val="0"/>
        </c:dLbls>
        <c:gapWidth val="219"/>
        <c:overlap val="-27"/>
        <c:axId val="70383345"/>
        <c:axId val="313456711"/>
      </c:barChart>
      <c:catAx>
        <c:axId val="703833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3456711"/>
        <c:crosses val="autoZero"/>
        <c:auto val="1"/>
        <c:lblAlgn val="ctr"/>
        <c:lblOffset val="100"/>
        <c:noMultiLvlLbl val="0"/>
      </c:catAx>
      <c:valAx>
        <c:axId val="313456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3833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财政拨款支出决算结构图</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275834007099191"/>
          <c:y val="0.412354582346973"/>
          <c:w val="0.71825"/>
          <c:h val="0.5775"/>
        </c:manualLayout>
      </c:layout>
      <c:pie3DChart>
        <c:varyColors val="1"/>
        <c:ser>
          <c:idx val="0"/>
          <c:order val="0"/>
          <c:tx>
            <c:strRef>
              <c:f>Sheet1!$B$1</c:f>
              <c:strCache>
                <c:ptCount val="1"/>
                <c:pt idx="0">
                  <c:v>金额</c:v>
                </c:pt>
              </c:strCache>
            </c:strRef>
          </c:tx>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Pt>
            <c:idx val="3"/>
            <c:bubble3D val="0"/>
            <c:spPr>
              <a:solidFill>
                <a:schemeClr val="accent4"/>
              </a:solidFill>
              <a:ln w="25400">
                <a:solidFill>
                  <a:schemeClr val="lt1"/>
                </a:solidFill>
              </a:ln>
              <a:effectLst/>
            </c:spPr>
          </c:dPt>
          <c:dPt>
            <c:idx val="4"/>
            <c:bubble3D val="0"/>
            <c:spPr>
              <a:solidFill>
                <a:schemeClr val="accent5"/>
              </a:solidFill>
              <a:ln w="25400">
                <a:solidFill>
                  <a:schemeClr val="lt1"/>
                </a:solidFill>
              </a:ln>
              <a:effectLst/>
            </c:spPr>
          </c:dPt>
          <c:dPt>
            <c:idx val="5"/>
            <c:bubble3D val="0"/>
            <c:spPr>
              <a:solidFill>
                <a:schemeClr val="accent6"/>
              </a:solidFill>
              <a:ln w="25400">
                <a:solidFill>
                  <a:schemeClr val="lt1"/>
                </a:solidFill>
              </a:ln>
              <a:effectLst/>
            </c:spPr>
          </c:dPt>
          <c:dLbls>
            <c:delete val="1"/>
          </c:dLbls>
          <c:cat>
            <c:strRef>
              <c:f>Sheet1!$A$2:$A$7</c:f>
              <c:strCache>
                <c:ptCount val="6"/>
                <c:pt idx="0">
                  <c:v>自然资源海洋气象</c:v>
                </c:pt>
                <c:pt idx="1">
                  <c:v>城乡社区</c:v>
                </c:pt>
                <c:pt idx="2">
                  <c:v>社会保障和就业</c:v>
                </c:pt>
                <c:pt idx="3">
                  <c:v>农林水</c:v>
                </c:pt>
                <c:pt idx="4">
                  <c:v>卫生健康</c:v>
                </c:pt>
                <c:pt idx="5">
                  <c:v>住房保障</c:v>
                </c:pt>
              </c:strCache>
            </c:strRef>
          </c:cat>
          <c:val>
            <c:numRef>
              <c:f>Sheet1!$B$2:$B$7</c:f>
              <c:numCache>
                <c:formatCode>General</c:formatCode>
                <c:ptCount val="6"/>
                <c:pt idx="0">
                  <c:v>2850.23</c:v>
                </c:pt>
                <c:pt idx="1">
                  <c:v>24186.54</c:v>
                </c:pt>
                <c:pt idx="2">
                  <c:v>101.5</c:v>
                </c:pt>
                <c:pt idx="3">
                  <c:v>380.02</c:v>
                </c:pt>
                <c:pt idx="4">
                  <c:v>30.46</c:v>
                </c:pt>
                <c:pt idx="5">
                  <c:v>83.37</c:v>
                </c:pt>
              </c:numCache>
            </c:numRef>
          </c:val>
        </c:ser>
        <c:dLbls>
          <c:showLegendKey val="0"/>
          <c:showVal val="0"/>
          <c:showCatName val="0"/>
          <c:showSerName val="0"/>
          <c:showPercent val="0"/>
          <c:showBubbleSize val="0"/>
        </c:dLbls>
      </c:pie3DChart>
      <c:spPr>
        <a:noFill/>
        <a:ln>
          <a:noFill/>
        </a:ln>
        <a:effectLst/>
      </c:spPr>
    </c:plotArea>
    <c:legend>
      <c:legendPos val="b"/>
      <c:layout>
        <c:manualLayout>
          <c:xMode val="edge"/>
          <c:yMode val="edge"/>
          <c:x val="0.170972194833366"/>
          <c:y val="0.16367940480216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F473AF-7F0D-4B9C-98A9-E2DB00BF05F0}">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34</Pages>
  <Words>1994</Words>
  <Characters>11370</Characters>
  <Lines>94</Lines>
  <Paragraphs>26</Paragraphs>
  <TotalTime>25</TotalTime>
  <ScaleCrop>false</ScaleCrop>
  <LinksUpToDate>false</LinksUpToDate>
  <CharactersWithSpaces>13338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安</cp:lastModifiedBy>
  <cp:lastPrinted>2023-08-04T01:00:00Z</cp:lastPrinted>
  <dcterms:modified xsi:type="dcterms:W3CDTF">2024-01-10T09:25:27Z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TemplateUUID">
    <vt:lpwstr>v1.0_mb_S7ajbG3IpAnL1wSthNCxfw==</vt:lpwstr>
  </property>
  <property fmtid="{D5CDD505-2E9C-101B-9397-08002B2CF9AE}" pid="4" name="ICV">
    <vt:lpwstr>DD31A88764634C9BA0B4C63BF97A3259_13</vt:lpwstr>
  </property>
</Properties>
</file>